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8B77" w14:textId="38B27B94" w:rsidR="001C4983" w:rsidRPr="00E0501A" w:rsidRDefault="009E7EF6" w:rsidP="00E0501A">
      <w:pPr>
        <w:rPr>
          <w:b/>
          <w:bCs/>
        </w:rPr>
      </w:pPr>
      <w:bookmarkStart w:id="0" w:name="InvestmentsCurrentMarketView"/>
      <w:r w:rsidRPr="00E0501A">
        <w:rPr>
          <w:b/>
          <w:bCs/>
        </w:rPr>
        <w:t>Current Market View</w:t>
      </w:r>
      <w:r w:rsidR="00E0501A" w:rsidRPr="00E0501A">
        <w:rPr>
          <w:b/>
          <w:bCs/>
          <w:iCs/>
          <w:caps/>
        </w:rPr>
        <w:t xml:space="preserve"> – </w:t>
      </w:r>
      <w:r w:rsidR="001C4983" w:rsidRPr="00E0501A">
        <w:rPr>
          <w:b/>
          <w:bCs/>
        </w:rPr>
        <w:t>Investment Markets</w:t>
      </w:r>
    </w:p>
    <w:p w14:paraId="0436BFD3" w14:textId="77777777" w:rsidR="0037124B" w:rsidRPr="00E0501A" w:rsidRDefault="0037124B" w:rsidP="004E0CA0">
      <w:r w:rsidRPr="00E0501A">
        <w:t xml:space="preserve">The Santa Claus rally failed to materialise in December 2024 which saw markets fade away as the interest rate markets retreated in price terms (rates moved higher). Investors preferred the sidelines as many closed shops early and departed for a much-anticipated break for the festive season. </w:t>
      </w:r>
    </w:p>
    <w:p w14:paraId="4AF751E8" w14:textId="2CD091C7" w:rsidR="0037124B" w:rsidRPr="00E0501A" w:rsidRDefault="0037124B" w:rsidP="00F40119">
      <w:r w:rsidRPr="00E0501A">
        <w:t xml:space="preserve">Most investors are still of the opinion that interest rates and inflation are heading lower over the medium to long term, however these short-term adjustments driven by market data and the US Federal Reserve (the Fed) comments regarding future easing of the target cash rates post the December 19, 2024, FOMC meeting. The Fed lowered the target cash rate by 0.25% to </w:t>
      </w:r>
      <w:r w:rsidRPr="00E0501A">
        <w:rPr>
          <w:b/>
          <w:bCs/>
        </w:rPr>
        <w:t>4.25%-4.50%</w:t>
      </w:r>
      <w:r w:rsidRPr="00E0501A">
        <w:t xml:space="preserve"> at its meeting held on the 19th of December 2024 however, shares and bond markets reacted to what they believed was a hawkish rate cut.</w:t>
      </w:r>
    </w:p>
    <w:p w14:paraId="64475292" w14:textId="2980CECD" w:rsidR="00FF15E7" w:rsidRPr="00E0501A" w:rsidRDefault="00FF15E7" w:rsidP="00FF15E7">
      <w:pPr>
        <w:rPr>
          <w:b/>
          <w:bCs/>
        </w:rPr>
      </w:pPr>
      <w:r w:rsidRPr="00E0501A">
        <w:t xml:space="preserve">The latest US </w:t>
      </w:r>
      <w:r w:rsidR="00AC74AA" w:rsidRPr="00E0501A">
        <w:t xml:space="preserve">annual </w:t>
      </w:r>
      <w:r w:rsidRPr="00E0501A">
        <w:t xml:space="preserve">inflation data </w:t>
      </w:r>
      <w:r w:rsidR="006167B3" w:rsidRPr="00E0501A">
        <w:t xml:space="preserve">came in at </w:t>
      </w:r>
      <w:r w:rsidR="006167B3" w:rsidRPr="00E0501A">
        <w:rPr>
          <w:b/>
          <w:bCs/>
        </w:rPr>
        <w:t>2.</w:t>
      </w:r>
      <w:r w:rsidR="0037124B" w:rsidRPr="00E0501A">
        <w:rPr>
          <w:b/>
          <w:bCs/>
        </w:rPr>
        <w:t>9</w:t>
      </w:r>
      <w:r w:rsidR="006167B3" w:rsidRPr="00E0501A">
        <w:rPr>
          <w:b/>
          <w:bCs/>
        </w:rPr>
        <w:t xml:space="preserve">% in </w:t>
      </w:r>
      <w:r w:rsidR="0037124B" w:rsidRPr="00E0501A">
        <w:rPr>
          <w:b/>
          <w:bCs/>
        </w:rPr>
        <w:t>Dec</w:t>
      </w:r>
      <w:r w:rsidR="00041762" w:rsidRPr="00E0501A">
        <w:rPr>
          <w:b/>
          <w:bCs/>
        </w:rPr>
        <w:t>em</w:t>
      </w:r>
      <w:r w:rsidR="006167B3" w:rsidRPr="00E0501A">
        <w:rPr>
          <w:b/>
          <w:bCs/>
        </w:rPr>
        <w:t>ber</w:t>
      </w:r>
      <w:r w:rsidR="006167B3" w:rsidRPr="00E0501A">
        <w:t xml:space="preserve"> up from </w:t>
      </w:r>
      <w:bookmarkStart w:id="1" w:name="_Hlk169250034"/>
      <w:r w:rsidR="008E5840" w:rsidRPr="00E0501A">
        <w:t>2.</w:t>
      </w:r>
      <w:r w:rsidR="0037124B" w:rsidRPr="00E0501A">
        <w:t>7</w:t>
      </w:r>
      <w:r w:rsidRPr="00E0501A">
        <w:t xml:space="preserve">% in </w:t>
      </w:r>
      <w:r w:rsidR="0037124B" w:rsidRPr="00E0501A">
        <w:t>Novem</w:t>
      </w:r>
      <w:r w:rsidR="00041762" w:rsidRPr="00E0501A">
        <w:t xml:space="preserve">ber </w:t>
      </w:r>
      <w:r w:rsidRPr="00E0501A">
        <w:t>2024</w:t>
      </w:r>
      <w:bookmarkEnd w:id="1"/>
      <w:r w:rsidR="00531BEC" w:rsidRPr="00E0501A">
        <w:t xml:space="preserve">. </w:t>
      </w:r>
      <w:r w:rsidRPr="00E0501A">
        <w:t xml:space="preserve">Investors </w:t>
      </w:r>
      <w:r w:rsidR="00D1117C" w:rsidRPr="00E0501A">
        <w:t xml:space="preserve">are now feeling </w:t>
      </w:r>
      <w:r w:rsidR="0037124B" w:rsidRPr="00E0501A">
        <w:t>less</w:t>
      </w:r>
      <w:r w:rsidR="00D1117C" w:rsidRPr="00E0501A">
        <w:t xml:space="preserve"> convinced that the </w:t>
      </w:r>
      <w:r w:rsidR="00D1117C" w:rsidRPr="00E0501A">
        <w:rPr>
          <w:b/>
          <w:bCs/>
        </w:rPr>
        <w:t xml:space="preserve">Fed will </w:t>
      </w:r>
      <w:r w:rsidR="00A352A1" w:rsidRPr="00E0501A">
        <w:rPr>
          <w:b/>
          <w:bCs/>
        </w:rPr>
        <w:t xml:space="preserve">continue to </w:t>
      </w:r>
      <w:r w:rsidR="00D1117C" w:rsidRPr="00E0501A">
        <w:rPr>
          <w:b/>
          <w:bCs/>
        </w:rPr>
        <w:t xml:space="preserve">ease </w:t>
      </w:r>
      <w:r w:rsidR="00D1117C" w:rsidRPr="00E0501A">
        <w:t>at the next Fed meeting following the inflation print.</w:t>
      </w:r>
      <w:r w:rsidR="00B3221F" w:rsidRPr="00E0501A">
        <w:t xml:space="preserve"> Core inflation Y-O-Y </w:t>
      </w:r>
      <w:r w:rsidR="006167B3" w:rsidRPr="00E0501A">
        <w:t>was 3.</w:t>
      </w:r>
      <w:r w:rsidR="008E4335" w:rsidRPr="00E0501A">
        <w:t>2</w:t>
      </w:r>
      <w:r w:rsidR="006167B3" w:rsidRPr="00E0501A">
        <w:t xml:space="preserve">0% for </w:t>
      </w:r>
      <w:r w:rsidR="008E4335" w:rsidRPr="00E0501A">
        <w:t>Dec</w:t>
      </w:r>
      <w:r w:rsidR="00041762" w:rsidRPr="00E0501A">
        <w:t>em</w:t>
      </w:r>
      <w:r w:rsidR="006167B3" w:rsidRPr="00E0501A">
        <w:t>ber 2024</w:t>
      </w:r>
      <w:r w:rsidR="00B3221F" w:rsidRPr="00E0501A">
        <w:t xml:space="preserve">. Core inflation excludes volatile items such as food and energy. </w:t>
      </w:r>
      <w:r w:rsidR="00FA37D3" w:rsidRPr="00E0501A">
        <w:t xml:space="preserve">The next </w:t>
      </w:r>
      <w:r w:rsidR="00FA37D3" w:rsidRPr="00E0501A">
        <w:rPr>
          <w:b/>
          <w:bCs/>
        </w:rPr>
        <w:t xml:space="preserve">FOMC meeting on Monetary Policy is the </w:t>
      </w:r>
      <w:r w:rsidR="006167B3" w:rsidRPr="00E0501A">
        <w:rPr>
          <w:b/>
          <w:bCs/>
        </w:rPr>
        <w:t>31/1</w:t>
      </w:r>
      <w:r w:rsidR="006167B3" w:rsidRPr="00E0501A">
        <w:rPr>
          <w:b/>
          <w:bCs/>
          <w:vertAlign w:val="superscript"/>
        </w:rPr>
        <w:t>st</w:t>
      </w:r>
      <w:r w:rsidR="00FA37D3" w:rsidRPr="00E0501A">
        <w:rPr>
          <w:b/>
          <w:bCs/>
        </w:rPr>
        <w:t xml:space="preserve"> of </w:t>
      </w:r>
      <w:r w:rsidR="006167B3" w:rsidRPr="00E0501A">
        <w:rPr>
          <w:b/>
          <w:bCs/>
        </w:rPr>
        <w:t>January</w:t>
      </w:r>
      <w:r w:rsidR="00FA37D3" w:rsidRPr="00E0501A">
        <w:rPr>
          <w:b/>
          <w:bCs/>
        </w:rPr>
        <w:t xml:space="preserve"> 202</w:t>
      </w:r>
      <w:r w:rsidR="006167B3" w:rsidRPr="00E0501A">
        <w:rPr>
          <w:b/>
          <w:bCs/>
        </w:rPr>
        <w:t>5</w:t>
      </w:r>
      <w:r w:rsidR="00FA37D3" w:rsidRPr="00E0501A">
        <w:rPr>
          <w:b/>
          <w:bCs/>
        </w:rPr>
        <w:t>.</w:t>
      </w:r>
    </w:p>
    <w:p w14:paraId="383A9FAD" w14:textId="27F1A359" w:rsidR="00A352A1" w:rsidRPr="00E0501A" w:rsidRDefault="00EF1357" w:rsidP="00A352A1">
      <w:pPr>
        <w:rPr>
          <w:b/>
          <w:bCs/>
        </w:rPr>
      </w:pPr>
      <w:r w:rsidRPr="00E0501A">
        <w:t>For Australia, t</w:t>
      </w:r>
      <w:r w:rsidR="00A352A1" w:rsidRPr="00E0501A">
        <w:t xml:space="preserve">he latest inflation prints for (year-on-year) second quarter of 2024 </w:t>
      </w:r>
      <w:r w:rsidR="00A352A1" w:rsidRPr="00E0501A">
        <w:rPr>
          <w:b/>
          <w:bCs/>
        </w:rPr>
        <w:t xml:space="preserve">was </w:t>
      </w:r>
      <w:r w:rsidRPr="00E0501A">
        <w:rPr>
          <w:b/>
          <w:bCs/>
        </w:rPr>
        <w:t>2</w:t>
      </w:r>
      <w:r w:rsidR="00A352A1" w:rsidRPr="00E0501A">
        <w:rPr>
          <w:b/>
          <w:bCs/>
        </w:rPr>
        <w:t>.8%</w:t>
      </w:r>
      <w:r w:rsidR="00A352A1" w:rsidRPr="00E0501A">
        <w:t xml:space="preserve"> which was </w:t>
      </w:r>
      <w:r w:rsidRPr="00E0501A">
        <w:t>down</w:t>
      </w:r>
      <w:r w:rsidR="00A352A1" w:rsidRPr="00E0501A">
        <w:t xml:space="preserve"> from the 3.</w:t>
      </w:r>
      <w:r w:rsidRPr="00E0501A">
        <w:t>8</w:t>
      </w:r>
      <w:r w:rsidR="00A352A1" w:rsidRPr="00E0501A">
        <w:t xml:space="preserve">% in the </w:t>
      </w:r>
      <w:r w:rsidRPr="00E0501A">
        <w:t>second</w:t>
      </w:r>
      <w:r w:rsidR="00A352A1" w:rsidRPr="00E0501A">
        <w:t xml:space="preserve"> quarter of 2024 but still elevated. This persistently high data reading on inflation forced the RBA to </w:t>
      </w:r>
      <w:r w:rsidR="00A352A1" w:rsidRPr="00E0501A">
        <w:rPr>
          <w:b/>
          <w:bCs/>
        </w:rPr>
        <w:t>hold the target cash rate at 4.35%</w:t>
      </w:r>
      <w:r w:rsidR="00A352A1" w:rsidRPr="00E0501A">
        <w:t xml:space="preserve"> at this month’s board meeting </w:t>
      </w:r>
      <w:r w:rsidR="00041762" w:rsidRPr="00E0501A">
        <w:t>on the 10</w:t>
      </w:r>
      <w:r w:rsidR="00041762" w:rsidRPr="00E0501A">
        <w:rPr>
          <w:vertAlign w:val="superscript"/>
        </w:rPr>
        <w:t>th of</w:t>
      </w:r>
      <w:r w:rsidR="00041762" w:rsidRPr="00E0501A">
        <w:t xml:space="preserve"> </w:t>
      </w:r>
      <w:r w:rsidR="00E26031" w:rsidRPr="00E0501A">
        <w:t>De</w:t>
      </w:r>
      <w:r w:rsidR="00041762" w:rsidRPr="00E0501A">
        <w:t>cember</w:t>
      </w:r>
      <w:r w:rsidR="00A352A1" w:rsidRPr="00E0501A">
        <w:t xml:space="preserve"> 2024. The </w:t>
      </w:r>
      <w:r w:rsidR="00A352A1" w:rsidRPr="00E0501A">
        <w:rPr>
          <w:b/>
          <w:bCs/>
        </w:rPr>
        <w:t xml:space="preserve">next RBA meeting is </w:t>
      </w:r>
      <w:r w:rsidR="00B8507E" w:rsidRPr="00E0501A">
        <w:rPr>
          <w:b/>
          <w:bCs/>
        </w:rPr>
        <w:t>on the 17-18</w:t>
      </w:r>
      <w:r w:rsidR="00B8507E" w:rsidRPr="00E0501A">
        <w:rPr>
          <w:b/>
          <w:bCs/>
          <w:vertAlign w:val="superscript"/>
        </w:rPr>
        <w:t>th</w:t>
      </w:r>
      <w:r w:rsidR="00B8507E" w:rsidRPr="00E0501A">
        <w:rPr>
          <w:b/>
          <w:bCs/>
        </w:rPr>
        <w:t xml:space="preserve"> </w:t>
      </w:r>
      <w:r w:rsidR="00041762" w:rsidRPr="00E0501A">
        <w:rPr>
          <w:b/>
          <w:bCs/>
        </w:rPr>
        <w:t>February 2025</w:t>
      </w:r>
      <w:r w:rsidR="00E26031" w:rsidRPr="00E0501A">
        <w:rPr>
          <w:b/>
          <w:bCs/>
        </w:rPr>
        <w:t>.</w:t>
      </w:r>
    </w:p>
    <w:p w14:paraId="13AD9698" w14:textId="7F1128FC" w:rsidR="00A352A1" w:rsidRPr="00E0501A" w:rsidRDefault="00FA37D3" w:rsidP="00A352A1">
      <w:pPr>
        <w:spacing w:before="120"/>
      </w:pPr>
      <w:r w:rsidRPr="00E0501A">
        <w:t>T</w:t>
      </w:r>
      <w:r w:rsidR="00A352A1" w:rsidRPr="00E0501A">
        <w:t xml:space="preserve">he domestic house prices </w:t>
      </w:r>
      <w:r w:rsidR="00210AED" w:rsidRPr="00E0501A">
        <w:t xml:space="preserve">are softening in </w:t>
      </w:r>
      <w:r w:rsidR="00A649C7" w:rsidRPr="00E0501A">
        <w:t>several</w:t>
      </w:r>
      <w:r w:rsidR="00210AED" w:rsidRPr="00E0501A">
        <w:t xml:space="preserve"> suburbs as </w:t>
      </w:r>
      <w:r w:rsidR="00A352A1" w:rsidRPr="00E0501A">
        <w:t>interest rate</w:t>
      </w:r>
      <w:r w:rsidR="00210AED" w:rsidRPr="00E0501A">
        <w:t xml:space="preserve">s remain on hold. </w:t>
      </w:r>
      <w:r w:rsidR="00A352A1" w:rsidRPr="00E0501A">
        <w:t xml:space="preserve">This year </w:t>
      </w:r>
      <w:r w:rsidR="00210AED" w:rsidRPr="00E0501A">
        <w:t xml:space="preserve">and 2025 </w:t>
      </w:r>
      <w:r w:rsidR="00A352A1" w:rsidRPr="00E0501A">
        <w:t xml:space="preserve">will be challenging however, </w:t>
      </w:r>
      <w:r w:rsidR="00A352A1" w:rsidRPr="00E0501A">
        <w:rPr>
          <w:b/>
          <w:bCs/>
        </w:rPr>
        <w:t xml:space="preserve">the broader economy </w:t>
      </w:r>
      <w:proofErr w:type="gramStart"/>
      <w:r w:rsidR="00425300" w:rsidRPr="00E0501A">
        <w:rPr>
          <w:b/>
          <w:bCs/>
        </w:rPr>
        <w:t>is</w:t>
      </w:r>
      <w:proofErr w:type="gramEnd"/>
      <w:r w:rsidR="00A352A1" w:rsidRPr="00E0501A">
        <w:rPr>
          <w:b/>
          <w:bCs/>
        </w:rPr>
        <w:t xml:space="preserve"> weathering the storm well </w:t>
      </w:r>
      <w:r w:rsidR="00A352A1" w:rsidRPr="00E0501A">
        <w:t xml:space="preserve">given the mixed support from high immigration levels and the strong level of employment with unemployment </w:t>
      </w:r>
      <w:r w:rsidR="008E4335" w:rsidRPr="00E0501A">
        <w:t xml:space="preserve">drifting higher </w:t>
      </w:r>
      <w:r w:rsidR="00363E96" w:rsidRPr="00E0501A">
        <w:t xml:space="preserve">to </w:t>
      </w:r>
      <w:r w:rsidR="008E4335" w:rsidRPr="00E0501A">
        <w:t>4.0</w:t>
      </w:r>
      <w:r w:rsidR="00363E96" w:rsidRPr="00E0501A">
        <w:t xml:space="preserve">% in </w:t>
      </w:r>
      <w:r w:rsidR="008E4335" w:rsidRPr="00E0501A">
        <w:t>Dec</w:t>
      </w:r>
      <w:r w:rsidR="00363E96" w:rsidRPr="00E0501A">
        <w:t xml:space="preserve">ember 2024 </w:t>
      </w:r>
      <w:r w:rsidR="008E4335" w:rsidRPr="00E0501A">
        <w:t>up</w:t>
      </w:r>
      <w:r w:rsidR="00363E96" w:rsidRPr="00E0501A">
        <w:t xml:space="preserve"> from </w:t>
      </w:r>
      <w:r w:rsidR="008E4335" w:rsidRPr="00E0501A">
        <w:t>3.9</w:t>
      </w:r>
      <w:r w:rsidR="00A352A1" w:rsidRPr="00E0501A">
        <w:t xml:space="preserve">% in </w:t>
      </w:r>
      <w:r w:rsidR="008E4335" w:rsidRPr="00E0501A">
        <w:t>Novem</w:t>
      </w:r>
      <w:r w:rsidR="00210AED" w:rsidRPr="00E0501A">
        <w:t>ber</w:t>
      </w:r>
      <w:r w:rsidR="00A352A1" w:rsidRPr="00E0501A">
        <w:t xml:space="preserve"> 2024.</w:t>
      </w:r>
    </w:p>
    <w:p w14:paraId="6E761528" w14:textId="33A298EB" w:rsidR="00A352A1" w:rsidRPr="00E0501A" w:rsidRDefault="00A352A1" w:rsidP="00A352A1">
      <w:r w:rsidRPr="00E0501A">
        <w:t>From a risk return perspective, markets are improving:</w:t>
      </w:r>
    </w:p>
    <w:p w14:paraId="43E51706" w14:textId="237B4990" w:rsidR="00375195" w:rsidRDefault="008E4335" w:rsidP="00E0501A">
      <w:pPr>
        <w:spacing w:before="0" w:after="0"/>
        <w:jc w:val="center"/>
      </w:pPr>
      <w:r w:rsidRPr="008E4335">
        <w:rPr>
          <w:noProof/>
        </w:rPr>
        <w:lastRenderedPageBreak/>
        <w:drawing>
          <wp:inline distT="0" distB="0" distL="0" distR="0" wp14:anchorId="47A4CD3E" wp14:editId="05708F99">
            <wp:extent cx="5243830" cy="3655460"/>
            <wp:effectExtent l="0" t="0" r="0" b="2540"/>
            <wp:docPr id="1127176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7024" cy="3657686"/>
                    </a:xfrm>
                    <a:prstGeom prst="rect">
                      <a:avLst/>
                    </a:prstGeom>
                    <a:noFill/>
                    <a:ln>
                      <a:noFill/>
                    </a:ln>
                  </pic:spPr>
                </pic:pic>
              </a:graphicData>
            </a:graphic>
          </wp:inline>
        </w:drawing>
      </w:r>
    </w:p>
    <w:p w14:paraId="708850CE" w14:textId="6148C556" w:rsidR="00D712E9" w:rsidRDefault="00D712E9" w:rsidP="00E0501A">
      <w:pPr>
        <w:spacing w:before="0" w:after="0"/>
        <w:jc w:val="center"/>
      </w:pPr>
      <w:r w:rsidRPr="00A70A09">
        <w:rPr>
          <w:sz w:val="18"/>
        </w:rPr>
        <w:t xml:space="preserve">Source data: </w:t>
      </w:r>
      <w:proofErr w:type="spellStart"/>
      <w:r w:rsidRPr="00A70A09">
        <w:rPr>
          <w:sz w:val="18"/>
        </w:rPr>
        <w:t>Lonsec</w:t>
      </w:r>
      <w:proofErr w:type="spellEnd"/>
      <w:r w:rsidRPr="00A70A09">
        <w:rPr>
          <w:sz w:val="18"/>
        </w:rPr>
        <w:t xml:space="preserve"> as of </w:t>
      </w:r>
      <w:r w:rsidR="00D528C0">
        <w:rPr>
          <w:sz w:val="18"/>
        </w:rPr>
        <w:t>3</w:t>
      </w:r>
      <w:r w:rsidR="008E4335">
        <w:rPr>
          <w:sz w:val="18"/>
        </w:rPr>
        <w:t>1</w:t>
      </w:r>
      <w:r w:rsidR="008E4335" w:rsidRPr="008E4335">
        <w:rPr>
          <w:sz w:val="18"/>
          <w:vertAlign w:val="superscript"/>
        </w:rPr>
        <w:t>st</w:t>
      </w:r>
      <w:r w:rsidR="008E4335">
        <w:rPr>
          <w:sz w:val="18"/>
        </w:rPr>
        <w:t xml:space="preserve"> December</w:t>
      </w:r>
      <w:r w:rsidR="00B3221F">
        <w:rPr>
          <w:sz w:val="18"/>
        </w:rPr>
        <w:t xml:space="preserve"> </w:t>
      </w:r>
      <w:r>
        <w:rPr>
          <w:sz w:val="18"/>
        </w:rPr>
        <w:t>2024</w:t>
      </w:r>
    </w:p>
    <w:p w14:paraId="484D77E5" w14:textId="0FF07B46" w:rsidR="00115DDA" w:rsidRPr="00E0501A" w:rsidRDefault="00115DDA" w:rsidP="00115DDA">
      <w:r w:rsidRPr="00E0501A">
        <w:t>From the chart above, you can gain an understanding of why investors over the past year h</w:t>
      </w:r>
      <w:r w:rsidR="00347702" w:rsidRPr="00E0501A">
        <w:t>ave tilted</w:t>
      </w:r>
      <w:r w:rsidRPr="00E0501A">
        <w:t xml:space="preserve"> </w:t>
      </w:r>
      <w:r w:rsidR="00290B47" w:rsidRPr="00E0501A">
        <w:t xml:space="preserve">their exposures </w:t>
      </w:r>
      <w:r w:rsidRPr="00E0501A">
        <w:t xml:space="preserve">towards shares over bonds given the higher risk </w:t>
      </w:r>
      <w:r w:rsidR="00290B47" w:rsidRPr="00E0501A">
        <w:t xml:space="preserve">score </w:t>
      </w:r>
      <w:r w:rsidRPr="00E0501A">
        <w:t>resulting in higher returns in most cases.</w:t>
      </w:r>
    </w:p>
    <w:p w14:paraId="3F114484" w14:textId="04EEF9C0" w:rsidR="003C4073" w:rsidRPr="00E0501A" w:rsidRDefault="003C4073" w:rsidP="003C4073">
      <w:pPr>
        <w:spacing w:before="0" w:after="160" w:line="259" w:lineRule="auto"/>
        <w:ind w:left="360"/>
        <w:rPr>
          <w:rFonts w:cs="Calibri"/>
          <w:i/>
          <w:iCs/>
          <w:shd w:val="clear" w:color="auto" w:fill="FFFFFF"/>
        </w:rPr>
      </w:pPr>
      <w:r w:rsidRPr="00E0501A">
        <w:rPr>
          <w:rFonts w:cs="Calibri"/>
          <w:i/>
          <w:iCs/>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E0501A">
        <w:rPr>
          <w:rFonts w:cs="Calibri"/>
          <w:i/>
          <w:iCs/>
          <w:shd w:val="clear" w:color="auto" w:fill="FFFFFF"/>
        </w:rPr>
        <w:t xml:space="preserve">cash </w:t>
      </w:r>
      <w:r w:rsidRPr="00E0501A">
        <w:rPr>
          <w:rFonts w:cs="Calibri"/>
          <w:i/>
          <w:iCs/>
          <w:shd w:val="clear" w:color="auto" w:fill="FFFFFF"/>
        </w:rPr>
        <w:t>dividends and coupons payable.</w:t>
      </w:r>
    </w:p>
    <w:p w14:paraId="6664BFA6" w14:textId="584D4734" w:rsidR="008B2268" w:rsidRPr="00E0501A" w:rsidRDefault="008B2268" w:rsidP="004E0CA0">
      <w:r w:rsidRPr="00E0501A">
        <w:t xml:space="preserve">The </w:t>
      </w:r>
      <w:r w:rsidR="009756E0" w:rsidRPr="00E0501A">
        <w:t>issues at the forefront of investors thoughts included</w:t>
      </w:r>
      <w:r w:rsidRPr="00E0501A">
        <w:t>:</w:t>
      </w:r>
    </w:p>
    <w:p w14:paraId="34A13A22" w14:textId="541D256C" w:rsidR="00360014" w:rsidRPr="00E0501A" w:rsidRDefault="00360014" w:rsidP="003C40F3">
      <w:pPr>
        <w:pStyle w:val="ListParagraph"/>
        <w:numPr>
          <w:ilvl w:val="0"/>
          <w:numId w:val="8"/>
        </w:numPr>
      </w:pPr>
      <w:r w:rsidRPr="00E0501A">
        <w:t>US Politics –</w:t>
      </w:r>
      <w:r w:rsidR="008F66A2" w:rsidRPr="00E0501A">
        <w:t xml:space="preserve"> The win by the Republican Party (Donald Trump) is top of mind with expectations for a big shake up for trade tariffs, immigration, and climate.</w:t>
      </w:r>
      <w:r w:rsidRPr="00E0501A">
        <w:t xml:space="preserve"> </w:t>
      </w:r>
      <w:r w:rsidR="008F66A2" w:rsidRPr="00E0501A">
        <w:t xml:space="preserve"> </w:t>
      </w:r>
      <w:r w:rsidR="00843E57" w:rsidRPr="00E0501A">
        <w:t>We can now watch to see how this will impact Australia in terms of trade tariffs.</w:t>
      </w:r>
    </w:p>
    <w:p w14:paraId="568D4ABF" w14:textId="7AAD2CFC" w:rsidR="008C3AF3" w:rsidRPr="00E0501A" w:rsidRDefault="008C3AF3" w:rsidP="003C40F3">
      <w:pPr>
        <w:pStyle w:val="ListParagraph"/>
        <w:numPr>
          <w:ilvl w:val="0"/>
          <w:numId w:val="8"/>
        </w:numPr>
      </w:pPr>
      <w:r w:rsidRPr="00E0501A">
        <w:t xml:space="preserve">Political conflict – the </w:t>
      </w:r>
      <w:r w:rsidR="00A97612" w:rsidRPr="00E0501A">
        <w:t xml:space="preserve">ongoing </w:t>
      </w:r>
      <w:r w:rsidRPr="00E0501A">
        <w:t>war in the middle east for Israel</w:t>
      </w:r>
      <w:r w:rsidR="003627B9" w:rsidRPr="00E0501A">
        <w:t>,</w:t>
      </w:r>
      <w:r w:rsidRPr="00E0501A">
        <w:t xml:space="preserve"> </w:t>
      </w:r>
      <w:r w:rsidR="00802E86" w:rsidRPr="00E0501A">
        <w:t>H</w:t>
      </w:r>
      <w:r w:rsidR="00BC254C" w:rsidRPr="00E0501A">
        <w:t>a</w:t>
      </w:r>
      <w:r w:rsidR="00802E86" w:rsidRPr="00E0501A">
        <w:t>mas</w:t>
      </w:r>
      <w:r w:rsidR="003627B9" w:rsidRPr="00E0501A">
        <w:t xml:space="preserve"> and now Hezbollah</w:t>
      </w:r>
      <w:r w:rsidR="00A97612" w:rsidRPr="00E0501A">
        <w:t>,</w:t>
      </w:r>
      <w:r w:rsidRPr="00E0501A">
        <w:t xml:space="preserve"> along with </w:t>
      </w:r>
      <w:r w:rsidR="00347702" w:rsidRPr="00E0501A">
        <w:t>Ukraine</w:t>
      </w:r>
      <w:r w:rsidRPr="00E0501A">
        <w:t xml:space="preserve"> and Russia</w:t>
      </w:r>
      <w:r w:rsidR="00A97612" w:rsidRPr="00E0501A">
        <w:t>,</w:t>
      </w:r>
      <w:r w:rsidRPr="00E0501A">
        <w:t xml:space="preserve"> </w:t>
      </w:r>
      <w:r w:rsidR="00D357C4" w:rsidRPr="00E0501A">
        <w:t xml:space="preserve">remains a concern for </w:t>
      </w:r>
      <w:r w:rsidRPr="00E0501A">
        <w:t xml:space="preserve">investors. While not panicking, the underlying impact of these events put doubt into expectations for any </w:t>
      </w:r>
      <w:r w:rsidR="005D39F6" w:rsidRPr="00E0501A">
        <w:t xml:space="preserve">speedy </w:t>
      </w:r>
      <w:r w:rsidRPr="00E0501A">
        <w:t>economic recovery</w:t>
      </w:r>
      <w:r w:rsidR="00D357C4" w:rsidRPr="00E0501A">
        <w:t xml:space="preserve"> in Europe</w:t>
      </w:r>
      <w:r w:rsidRPr="00E0501A">
        <w:t>.</w:t>
      </w:r>
    </w:p>
    <w:p w14:paraId="3B593908" w14:textId="04967490" w:rsidR="002A71FA" w:rsidRPr="00E0501A" w:rsidRDefault="00601243" w:rsidP="003C40F3">
      <w:pPr>
        <w:pStyle w:val="ListParagraph"/>
        <w:numPr>
          <w:ilvl w:val="0"/>
          <w:numId w:val="8"/>
        </w:numPr>
      </w:pPr>
      <w:r w:rsidRPr="00E0501A">
        <w:t xml:space="preserve">Global growth </w:t>
      </w:r>
      <w:r w:rsidR="003E5CBD" w:rsidRPr="00E0501A">
        <w:t xml:space="preserve">and Commodity Prices </w:t>
      </w:r>
      <w:r w:rsidRPr="00E0501A">
        <w:t xml:space="preserve">– </w:t>
      </w:r>
      <w:r w:rsidR="001415A2" w:rsidRPr="00E0501A">
        <w:t>for our region</w:t>
      </w:r>
      <w:r w:rsidR="00D357C4" w:rsidRPr="00E0501A">
        <w:t>,</w:t>
      </w:r>
      <w:r w:rsidR="001415A2" w:rsidRPr="00E0501A">
        <w:t xml:space="preserve"> </w:t>
      </w:r>
      <w:r w:rsidRPr="00E0501A">
        <w:t xml:space="preserve">China is the focus with </w:t>
      </w:r>
      <w:r w:rsidR="001921CE" w:rsidRPr="00E0501A">
        <w:t xml:space="preserve">growth prospects the central theme. GDP is resilient around the </w:t>
      </w:r>
      <w:r w:rsidR="00382C31" w:rsidRPr="00E0501A">
        <w:t>4.</w:t>
      </w:r>
      <w:r w:rsidR="00843E57" w:rsidRPr="00E0501A">
        <w:t>6</w:t>
      </w:r>
      <w:r w:rsidR="001921CE" w:rsidRPr="00E0501A">
        <w:t>% level despite the property market concerns.</w:t>
      </w:r>
      <w:r w:rsidRPr="00E0501A">
        <w:t xml:space="preserve"> The </w:t>
      </w:r>
      <w:r w:rsidR="001921CE" w:rsidRPr="00E0501A">
        <w:t xml:space="preserve">benefits of rekindling growth include productivity gains from which </w:t>
      </w:r>
      <w:r w:rsidRPr="00E0501A">
        <w:t xml:space="preserve">Australia will </w:t>
      </w:r>
      <w:r w:rsidR="001921CE" w:rsidRPr="00E0501A">
        <w:t xml:space="preserve">also </w:t>
      </w:r>
      <w:r w:rsidR="001B08D3" w:rsidRPr="00E0501A">
        <w:t>be</w:t>
      </w:r>
      <w:r w:rsidR="00764C50" w:rsidRPr="00E0501A">
        <w:t>nefit</w:t>
      </w:r>
      <w:r w:rsidRPr="00E0501A">
        <w:t xml:space="preserve"> given, they are our biggest trading partner.</w:t>
      </w:r>
      <w:r w:rsidR="003E5CBD" w:rsidRPr="00E0501A">
        <w:t xml:space="preserve"> The problem is the </w:t>
      </w:r>
      <w:r w:rsidR="003E5CBD" w:rsidRPr="00E0501A">
        <w:rPr>
          <w:b/>
          <w:bCs/>
        </w:rPr>
        <w:t xml:space="preserve">falling </w:t>
      </w:r>
      <w:r w:rsidR="00843E57" w:rsidRPr="00E0501A">
        <w:rPr>
          <w:b/>
          <w:bCs/>
        </w:rPr>
        <w:t xml:space="preserve">global </w:t>
      </w:r>
      <w:r w:rsidR="003E5CBD" w:rsidRPr="00E0501A">
        <w:rPr>
          <w:b/>
          <w:bCs/>
        </w:rPr>
        <w:t xml:space="preserve">growth prospects </w:t>
      </w:r>
      <w:r w:rsidR="003E5CBD" w:rsidRPr="00E0501A">
        <w:rPr>
          <w:b/>
          <w:bCs/>
        </w:rPr>
        <w:lastRenderedPageBreak/>
        <w:t>has impacted the demand prices of oil, iron ore</w:t>
      </w:r>
      <w:r w:rsidR="003E5CBD" w:rsidRPr="00E0501A">
        <w:t xml:space="preserve"> and other resources, except Gold which remains well supported.</w:t>
      </w:r>
    </w:p>
    <w:p w14:paraId="0D3E5B51" w14:textId="7D187D07" w:rsidR="00BC11B5" w:rsidRPr="00E0501A" w:rsidRDefault="00BC11B5" w:rsidP="003C40F3">
      <w:pPr>
        <w:pStyle w:val="ListParagraph"/>
        <w:numPr>
          <w:ilvl w:val="0"/>
          <w:numId w:val="8"/>
        </w:numPr>
      </w:pPr>
      <w:r w:rsidRPr="00E0501A">
        <w:t>Inflation</w:t>
      </w:r>
      <w:r w:rsidR="00FE30E8" w:rsidRPr="00E0501A">
        <w:t xml:space="preserve"> numbers </w:t>
      </w:r>
      <w:r w:rsidR="00EB0473" w:rsidRPr="00E0501A">
        <w:t xml:space="preserve">are </w:t>
      </w:r>
      <w:r w:rsidR="00FE30E8" w:rsidRPr="00E0501A">
        <w:t xml:space="preserve">indicating a </w:t>
      </w:r>
      <w:r w:rsidR="003627B9" w:rsidRPr="00E0501A">
        <w:t xml:space="preserve"> </w:t>
      </w:r>
      <w:r w:rsidR="003627B9" w:rsidRPr="00E0501A">
        <w:rPr>
          <w:b/>
          <w:bCs/>
        </w:rPr>
        <w:t xml:space="preserve">slight easing bias </w:t>
      </w:r>
      <w:r w:rsidR="00843E57" w:rsidRPr="00E0501A">
        <w:rPr>
          <w:b/>
          <w:bCs/>
        </w:rPr>
        <w:t xml:space="preserve">Y-O-Y </w:t>
      </w:r>
      <w:r w:rsidR="00EB0473" w:rsidRPr="00E0501A">
        <w:rPr>
          <w:b/>
          <w:bCs/>
        </w:rPr>
        <w:t xml:space="preserve">which </w:t>
      </w:r>
      <w:r w:rsidR="003627B9" w:rsidRPr="00E0501A">
        <w:rPr>
          <w:b/>
          <w:bCs/>
        </w:rPr>
        <w:t>is aiding optimism</w:t>
      </w:r>
      <w:r w:rsidR="00B115AE" w:rsidRPr="00E0501A">
        <w:t>,</w:t>
      </w:r>
      <w:r w:rsidR="00397D87" w:rsidRPr="00E0501A">
        <w:t xml:space="preserve"> </w:t>
      </w:r>
      <w:r w:rsidR="00EB0473" w:rsidRPr="00E0501A">
        <w:t xml:space="preserve">as the numbers are starting to hit within the </w:t>
      </w:r>
      <w:r w:rsidR="00601243" w:rsidRPr="00E0501A">
        <w:t>target ranges of Central banks</w:t>
      </w:r>
      <w:r w:rsidR="00894F9E" w:rsidRPr="00E0501A">
        <w:t>.</w:t>
      </w:r>
      <w:r w:rsidR="00601243" w:rsidRPr="00E0501A">
        <w:t xml:space="preserve"> The impact of monetary policy changes typically </w:t>
      </w:r>
      <w:r w:rsidR="001415A2" w:rsidRPr="00E0501A">
        <w:t>takes</w:t>
      </w:r>
      <w:r w:rsidR="00601243" w:rsidRPr="00E0501A">
        <w:t xml:space="preserve"> 12 </w:t>
      </w:r>
      <w:r w:rsidR="001415A2" w:rsidRPr="00E0501A">
        <w:t>to</w:t>
      </w:r>
      <w:r w:rsidR="00601243" w:rsidRPr="00E0501A">
        <w:t xml:space="preserve"> 18 months to be felt and so markets are watching the economic data </w:t>
      </w:r>
      <w:r w:rsidR="001415A2" w:rsidRPr="00E0501A">
        <w:t xml:space="preserve">closely </w:t>
      </w:r>
      <w:r w:rsidR="00601243" w:rsidRPr="00E0501A">
        <w:t>for signals that will challenge growth</w:t>
      </w:r>
      <w:r w:rsidR="00036FDA" w:rsidRPr="00E0501A">
        <w:t xml:space="preserve"> expectations</w:t>
      </w:r>
      <w:r w:rsidR="00601243" w:rsidRPr="00E0501A">
        <w:t>.</w:t>
      </w:r>
    </w:p>
    <w:p w14:paraId="74BD26C3" w14:textId="5A5EF579" w:rsidR="00BC11B5" w:rsidRPr="00E0501A" w:rsidRDefault="00BC11B5" w:rsidP="003C40F3">
      <w:pPr>
        <w:pStyle w:val="ListParagraph"/>
        <w:numPr>
          <w:ilvl w:val="0"/>
          <w:numId w:val="8"/>
        </w:numPr>
      </w:pPr>
      <w:r w:rsidRPr="00E0501A">
        <w:t xml:space="preserve">Bond </w:t>
      </w:r>
      <w:r w:rsidR="00E247C3" w:rsidRPr="00E0501A">
        <w:t xml:space="preserve">markets </w:t>
      </w:r>
      <w:r w:rsidR="00363E96" w:rsidRPr="00E0501A">
        <w:t xml:space="preserve">are </w:t>
      </w:r>
      <w:r w:rsidR="00363E96" w:rsidRPr="00E0501A">
        <w:rPr>
          <w:b/>
          <w:bCs/>
        </w:rPr>
        <w:t>unsettled</w:t>
      </w:r>
      <w:r w:rsidR="00363E96" w:rsidRPr="00E0501A">
        <w:t xml:space="preserve"> </w:t>
      </w:r>
      <w:r w:rsidR="00843E57" w:rsidRPr="00E0501A">
        <w:t xml:space="preserve">post the </w:t>
      </w:r>
      <w:r w:rsidR="00363E96" w:rsidRPr="00E0501A">
        <w:t>Central Bank easing</w:t>
      </w:r>
      <w:r w:rsidR="00843E57" w:rsidRPr="00E0501A">
        <w:t xml:space="preserve">. </w:t>
      </w:r>
      <w:r w:rsidR="00363E96" w:rsidRPr="00E0501A">
        <w:t>The direction is still lower longer term but short term, volatility remains.</w:t>
      </w:r>
    </w:p>
    <w:p w14:paraId="07A4B833" w14:textId="68C49FAB" w:rsidR="008B2268" w:rsidRPr="00E0501A" w:rsidRDefault="002C6C3E" w:rsidP="003C40F3">
      <w:pPr>
        <w:pStyle w:val="ListParagraph"/>
        <w:numPr>
          <w:ilvl w:val="0"/>
          <w:numId w:val="8"/>
        </w:numPr>
      </w:pPr>
      <w:r w:rsidRPr="00E0501A">
        <w:t>M</w:t>
      </w:r>
      <w:r w:rsidR="00894F9E" w:rsidRPr="00E0501A">
        <w:t>arket</w:t>
      </w:r>
      <w:r w:rsidR="001415A2" w:rsidRPr="00E0501A">
        <w:t xml:space="preserve"> valuations are </w:t>
      </w:r>
      <w:r w:rsidR="001921CE" w:rsidRPr="00E0501A">
        <w:t xml:space="preserve">still </w:t>
      </w:r>
      <w:r w:rsidR="001415A2" w:rsidRPr="00E0501A">
        <w:t>challenging</w:t>
      </w:r>
      <w:r w:rsidR="00B648FE" w:rsidRPr="00E0501A">
        <w:t xml:space="preserve"> </w:t>
      </w:r>
      <w:r w:rsidR="001415A2" w:rsidRPr="00E0501A">
        <w:t xml:space="preserve">along with </w:t>
      </w:r>
      <w:r w:rsidR="00B648FE" w:rsidRPr="00E0501A">
        <w:t xml:space="preserve">economic indicators </w:t>
      </w:r>
      <w:r w:rsidR="00634FDD" w:rsidRPr="00E0501A">
        <w:t xml:space="preserve">flagging </w:t>
      </w:r>
      <w:r w:rsidR="00B648FE" w:rsidRPr="00E0501A">
        <w:t xml:space="preserve">downside </w:t>
      </w:r>
      <w:r w:rsidR="002D4F09" w:rsidRPr="00E0501A">
        <w:t>risks;</w:t>
      </w:r>
      <w:r w:rsidR="00D90A2B" w:rsidRPr="00E0501A">
        <w:t xml:space="preserve"> however, </w:t>
      </w:r>
      <w:r w:rsidR="002D4F09" w:rsidRPr="00E0501A">
        <w:rPr>
          <w:b/>
          <w:bCs/>
        </w:rPr>
        <w:t xml:space="preserve">investors are encouraged </w:t>
      </w:r>
      <w:r w:rsidRPr="00E0501A">
        <w:rPr>
          <w:b/>
          <w:bCs/>
        </w:rPr>
        <w:t xml:space="preserve">to </w:t>
      </w:r>
      <w:r w:rsidR="00E7618A" w:rsidRPr="00E0501A">
        <w:rPr>
          <w:b/>
          <w:bCs/>
        </w:rPr>
        <w:t>maintain their cautiou</w:t>
      </w:r>
      <w:r w:rsidR="00484BBB" w:rsidRPr="00E0501A">
        <w:rPr>
          <w:b/>
          <w:bCs/>
        </w:rPr>
        <w:t xml:space="preserve">s </w:t>
      </w:r>
      <w:r w:rsidR="00E7618A" w:rsidRPr="00E0501A">
        <w:rPr>
          <w:b/>
          <w:bCs/>
        </w:rPr>
        <w:t>optimism</w:t>
      </w:r>
      <w:r w:rsidR="000218F1" w:rsidRPr="00E0501A">
        <w:t>, navigate this period of uncertainty,</w:t>
      </w:r>
      <w:r w:rsidR="00B13339" w:rsidRPr="00E0501A">
        <w:t xml:space="preserve"> and expect better conditions to prevail in </w:t>
      </w:r>
      <w:r w:rsidR="005D4428" w:rsidRPr="00E0501A">
        <w:t>202</w:t>
      </w:r>
      <w:r w:rsidR="00E247C3" w:rsidRPr="00E0501A">
        <w:t>5</w:t>
      </w:r>
      <w:r w:rsidR="005D4428" w:rsidRPr="00E0501A">
        <w:t>.</w:t>
      </w:r>
      <w:r w:rsidR="00A00F13" w:rsidRPr="00E0501A">
        <w:t xml:space="preserve"> </w:t>
      </w:r>
    </w:p>
    <w:p w14:paraId="734BC06E" w14:textId="5A009931" w:rsidR="00300938" w:rsidRPr="00E0501A" w:rsidRDefault="00784798" w:rsidP="00F22A38">
      <w:r w:rsidRPr="00E0501A">
        <w:t xml:space="preserve">Despite the </w:t>
      </w:r>
      <w:r w:rsidR="00E247C3" w:rsidRPr="00E0501A">
        <w:t>geo</w:t>
      </w:r>
      <w:r w:rsidRPr="00E0501A">
        <w:t>political conflict</w:t>
      </w:r>
      <w:r w:rsidR="002C6C3E" w:rsidRPr="00E0501A">
        <w:t xml:space="preserve">, the investment markets are looking </w:t>
      </w:r>
      <w:r w:rsidR="00024249" w:rsidRPr="00E0501A">
        <w:t>solid underpinned by c</w:t>
      </w:r>
      <w:r w:rsidR="002C6C3E" w:rsidRPr="00E0501A">
        <w:t>ompany</w:t>
      </w:r>
      <w:r w:rsidRPr="00E0501A">
        <w:t xml:space="preserve"> </w:t>
      </w:r>
      <w:r w:rsidR="00E247C3" w:rsidRPr="00E0501A">
        <w:t xml:space="preserve">profits </w:t>
      </w:r>
      <w:r w:rsidR="00024249" w:rsidRPr="00E0501A">
        <w:t xml:space="preserve">and </w:t>
      </w:r>
      <w:r w:rsidR="00E247C3" w:rsidRPr="00E0501A">
        <w:t xml:space="preserve">the expected </w:t>
      </w:r>
      <w:r w:rsidR="00E247C3" w:rsidRPr="00E0501A">
        <w:rPr>
          <w:b/>
          <w:bCs/>
        </w:rPr>
        <w:t>gradual easing interest rates</w:t>
      </w:r>
      <w:r w:rsidR="00E247C3" w:rsidRPr="00E0501A">
        <w:t xml:space="preserve">. </w:t>
      </w:r>
    </w:p>
    <w:p w14:paraId="0FBDDE4B" w14:textId="120D0673" w:rsidR="0046215F" w:rsidRPr="00E0501A" w:rsidRDefault="005C4645" w:rsidP="004E0CA0">
      <w:r w:rsidRPr="00E0501A">
        <w:t xml:space="preserve">Investors </w:t>
      </w:r>
      <w:r w:rsidR="00802B47" w:rsidRPr="00E0501A">
        <w:t xml:space="preserve">have </w:t>
      </w:r>
      <w:r w:rsidR="00C34A21" w:rsidRPr="00E0501A">
        <w:t xml:space="preserve">maintained their </w:t>
      </w:r>
      <w:r w:rsidR="00802B47" w:rsidRPr="00E0501A">
        <w:t xml:space="preserve">risk appetite </w:t>
      </w:r>
      <w:r w:rsidR="00C34A21" w:rsidRPr="00E0501A">
        <w:t>at</w:t>
      </w:r>
      <w:r w:rsidR="0046215F" w:rsidRPr="00E0501A">
        <w:rPr>
          <w:b/>
          <w:bCs/>
        </w:rPr>
        <w:t xml:space="preserve"> </w:t>
      </w:r>
      <w:r w:rsidR="00975C44" w:rsidRPr="00E0501A">
        <w:rPr>
          <w:b/>
          <w:bCs/>
        </w:rPr>
        <w:t>“</w:t>
      </w:r>
      <w:r w:rsidR="00311F31" w:rsidRPr="00E0501A">
        <w:rPr>
          <w:b/>
          <w:bCs/>
        </w:rPr>
        <w:t>cautiously optimistic</w:t>
      </w:r>
      <w:r w:rsidR="00975C44" w:rsidRPr="00E0501A">
        <w:rPr>
          <w:b/>
          <w:bCs/>
        </w:rPr>
        <w:t>”</w:t>
      </w:r>
      <w:r w:rsidR="00975C44" w:rsidRPr="00E0501A">
        <w:t xml:space="preserve"> </w:t>
      </w:r>
      <w:r w:rsidR="00C103CF" w:rsidRPr="00E0501A">
        <w:t xml:space="preserve">short </w:t>
      </w:r>
      <w:r w:rsidR="006A01FF" w:rsidRPr="00E0501A">
        <w:t>term and</w:t>
      </w:r>
      <w:r w:rsidR="00C103CF" w:rsidRPr="00E0501A">
        <w:t xml:space="preserve"> </w:t>
      </w:r>
      <w:r w:rsidR="00396B3C" w:rsidRPr="00E0501A">
        <w:t xml:space="preserve">remain </w:t>
      </w:r>
      <w:r w:rsidR="00784798" w:rsidRPr="00E0501A">
        <w:rPr>
          <w:b/>
          <w:bCs/>
        </w:rPr>
        <w:t>“optimistic”</w:t>
      </w:r>
      <w:r w:rsidR="00784798" w:rsidRPr="00E0501A">
        <w:t xml:space="preserve"> </w:t>
      </w:r>
      <w:r w:rsidR="00282C5F" w:rsidRPr="00E0501A">
        <w:t xml:space="preserve">medium term </w:t>
      </w:r>
      <w:r w:rsidR="00B26539" w:rsidRPr="00E0501A">
        <w:t xml:space="preserve">as they await the next round of </w:t>
      </w:r>
      <w:r w:rsidR="00C103CF" w:rsidRPr="00E0501A">
        <w:t xml:space="preserve">inflation data and </w:t>
      </w:r>
      <w:r w:rsidR="00B26539" w:rsidRPr="00E0501A">
        <w:t xml:space="preserve">Central Bank activity </w:t>
      </w:r>
      <w:r w:rsidR="007E753C" w:rsidRPr="00E0501A">
        <w:t xml:space="preserve">however, the signals are getting better and </w:t>
      </w:r>
      <w:r w:rsidR="007E753C" w:rsidRPr="00E0501A">
        <w:rPr>
          <w:b/>
          <w:bCs/>
        </w:rPr>
        <w:t xml:space="preserve">opportunistic </w:t>
      </w:r>
      <w:r w:rsidR="00B26539" w:rsidRPr="00E0501A">
        <w:rPr>
          <w:b/>
          <w:bCs/>
        </w:rPr>
        <w:t>buying</w:t>
      </w:r>
      <w:r w:rsidR="00B26539" w:rsidRPr="00E0501A">
        <w:t xml:space="preserve"> </w:t>
      </w:r>
      <w:r w:rsidR="007E753C" w:rsidRPr="00E0501A">
        <w:t xml:space="preserve">is </w:t>
      </w:r>
      <w:r w:rsidR="00396B3C" w:rsidRPr="00E0501A">
        <w:t>preferred</w:t>
      </w:r>
      <w:r w:rsidR="002C6C3E" w:rsidRPr="00E0501A">
        <w:t xml:space="preserve"> </w:t>
      </w:r>
      <w:r w:rsidR="00111F8D" w:rsidRPr="00E0501A">
        <w:t xml:space="preserve">despite the </w:t>
      </w:r>
      <w:r w:rsidR="00EF169D" w:rsidRPr="00E0501A">
        <w:t xml:space="preserve">threat of an economic slowdown </w:t>
      </w:r>
      <w:r w:rsidR="005F21FA" w:rsidRPr="00E0501A">
        <w:t xml:space="preserve"> at some future point</w:t>
      </w:r>
      <w:r w:rsidR="00634FDD" w:rsidRPr="00E0501A">
        <w:t xml:space="preserve"> but the </w:t>
      </w:r>
      <w:r w:rsidR="008970F9" w:rsidRPr="00E0501A">
        <w:t>severity is now seen as limited</w:t>
      </w:r>
      <w:r w:rsidR="00B26539" w:rsidRPr="00E0501A">
        <w:t>.</w:t>
      </w:r>
      <w:r w:rsidRPr="00E0501A">
        <w:t xml:space="preserve"> </w:t>
      </w:r>
      <w:r w:rsidR="006A01FF" w:rsidRPr="00E0501A">
        <w:t xml:space="preserve">We are looking for a </w:t>
      </w:r>
      <w:r w:rsidR="006A01FF" w:rsidRPr="00E0501A">
        <w:rPr>
          <w:b/>
          <w:bCs/>
        </w:rPr>
        <w:t>soft landing</w:t>
      </w:r>
      <w:r w:rsidR="006A01FF" w:rsidRPr="00E0501A">
        <w:t xml:space="preserve"> for Australia.</w:t>
      </w:r>
    </w:p>
    <w:p w14:paraId="2641A6CA" w14:textId="77777777" w:rsidR="00843E57" w:rsidRPr="00E0501A" w:rsidRDefault="00EF6467" w:rsidP="004E0CA0">
      <w:r w:rsidRPr="00E0501A">
        <w:t>Ukraine</w:t>
      </w:r>
      <w:r w:rsidR="00EF169D" w:rsidRPr="00E0501A">
        <w:t xml:space="preserve"> and Israel conflict is still a major concern for investors however, </w:t>
      </w:r>
      <w:r w:rsidR="00784798" w:rsidRPr="00E0501A">
        <w:t xml:space="preserve">we are a long way from the conflict zone and </w:t>
      </w:r>
      <w:r w:rsidR="006412E9" w:rsidRPr="00E0501A">
        <w:t xml:space="preserve">the </w:t>
      </w:r>
      <w:r w:rsidR="00EF169D" w:rsidRPr="00E0501A">
        <w:t xml:space="preserve">global </w:t>
      </w:r>
      <w:r w:rsidR="006A01FF" w:rsidRPr="00E0501A">
        <w:t xml:space="preserve">economic data </w:t>
      </w:r>
      <w:r w:rsidR="00BB7944" w:rsidRPr="00E0501A">
        <w:t xml:space="preserve">is improving </w:t>
      </w:r>
      <w:r w:rsidR="00CB3683" w:rsidRPr="00E0501A">
        <w:t xml:space="preserve">slowly </w:t>
      </w:r>
      <w:r w:rsidR="00BB7944" w:rsidRPr="00E0501A">
        <w:t xml:space="preserve">but the </w:t>
      </w:r>
      <w:r w:rsidR="00457450" w:rsidRPr="00E0501A">
        <w:t xml:space="preserve">main </w:t>
      </w:r>
      <w:r w:rsidR="00BB7944" w:rsidRPr="00E0501A">
        <w:t xml:space="preserve">influence on our market </w:t>
      </w:r>
      <w:r w:rsidR="00EF169D" w:rsidRPr="00E0501A">
        <w:t xml:space="preserve">remains from </w:t>
      </w:r>
      <w:r w:rsidR="00BB7944" w:rsidRPr="00E0501A">
        <w:t>offshore</w:t>
      </w:r>
      <w:r w:rsidR="00CB3683" w:rsidRPr="00E0501A">
        <w:t>, especially China</w:t>
      </w:r>
      <w:r w:rsidR="00BB7944" w:rsidRPr="00E0501A">
        <w:t xml:space="preserve">. </w:t>
      </w:r>
    </w:p>
    <w:p w14:paraId="3F20AC37" w14:textId="77777777" w:rsidR="008C55C2" w:rsidRPr="00E0501A" w:rsidRDefault="008C55C2" w:rsidP="00B53288">
      <w:r w:rsidRPr="00E0501A">
        <w:t xml:space="preserve">China has recently made several fiscal and monetary policy announcements to consolidate economic growth, </w:t>
      </w:r>
      <w:r w:rsidRPr="00E0501A">
        <w:rPr>
          <w:b/>
          <w:bCs/>
        </w:rPr>
        <w:t>targeting 5%,</w:t>
      </w:r>
      <w:r w:rsidRPr="00E0501A">
        <w:t xml:space="preserve"> in response to an expected increase in US tariffs after President Trump is sworn into office in January 2025. We will wait and see the impact in the coming months.</w:t>
      </w:r>
    </w:p>
    <w:p w14:paraId="07B5E7F0" w14:textId="77777777" w:rsidR="008C55C2" w:rsidRPr="00E0501A" w:rsidRDefault="008C55C2" w:rsidP="00B53288">
      <w:pPr>
        <w:rPr>
          <w:b/>
          <w:bCs/>
        </w:rPr>
      </w:pPr>
    </w:p>
    <w:p w14:paraId="0E2E95FA" w14:textId="608EAFC3" w:rsidR="004104F2" w:rsidRPr="00E0501A" w:rsidRDefault="00FB1617" w:rsidP="00B53288">
      <w:pPr>
        <w:rPr>
          <w:b/>
          <w:bCs/>
        </w:rPr>
      </w:pPr>
      <w:r w:rsidRPr="00E0501A">
        <w:rPr>
          <w:b/>
          <w:bCs/>
        </w:rPr>
        <w:t xml:space="preserve">The following </w:t>
      </w:r>
      <w:r w:rsidR="004B4415" w:rsidRPr="00E0501A">
        <w:rPr>
          <w:b/>
          <w:bCs/>
        </w:rPr>
        <w:t xml:space="preserve">total </w:t>
      </w:r>
      <w:r w:rsidRPr="00E0501A">
        <w:rPr>
          <w:b/>
          <w:bCs/>
        </w:rPr>
        <w:t>re</w:t>
      </w:r>
      <w:r w:rsidR="004B4415" w:rsidRPr="00E0501A">
        <w:rPr>
          <w:b/>
          <w:bCs/>
        </w:rPr>
        <w:t>turns</w:t>
      </w:r>
      <w:r w:rsidRPr="00E0501A">
        <w:rPr>
          <w:b/>
          <w:bCs/>
        </w:rPr>
        <w:t xml:space="preserve"> </w:t>
      </w:r>
      <w:r w:rsidR="0081288E" w:rsidRPr="00E0501A">
        <w:rPr>
          <w:b/>
          <w:bCs/>
        </w:rPr>
        <w:t xml:space="preserve">across the asset classes </w:t>
      </w:r>
      <w:r w:rsidRPr="00E0501A">
        <w:rPr>
          <w:b/>
          <w:bCs/>
        </w:rPr>
        <w:t xml:space="preserve">are as of </w:t>
      </w:r>
      <w:r w:rsidR="003B1467" w:rsidRPr="00E0501A">
        <w:rPr>
          <w:b/>
          <w:bCs/>
        </w:rPr>
        <w:t>3</w:t>
      </w:r>
      <w:r w:rsidR="008C55C2" w:rsidRPr="00E0501A">
        <w:rPr>
          <w:b/>
          <w:bCs/>
        </w:rPr>
        <w:t>1</w:t>
      </w:r>
      <w:r w:rsidR="008C55C2" w:rsidRPr="00E0501A">
        <w:rPr>
          <w:b/>
          <w:bCs/>
          <w:vertAlign w:val="superscript"/>
        </w:rPr>
        <w:t>st</w:t>
      </w:r>
      <w:r w:rsidR="008C55C2" w:rsidRPr="00E0501A">
        <w:rPr>
          <w:b/>
          <w:bCs/>
        </w:rPr>
        <w:t xml:space="preserve"> December</w:t>
      </w:r>
      <w:r w:rsidRPr="00E0501A">
        <w:rPr>
          <w:b/>
          <w:bCs/>
        </w:rPr>
        <w:t xml:space="preserve"> 202</w:t>
      </w:r>
      <w:r w:rsidR="00190B5B" w:rsidRPr="00E0501A">
        <w:rPr>
          <w:b/>
          <w:bCs/>
        </w:rPr>
        <w:t>4</w:t>
      </w:r>
      <w:r w:rsidRPr="00E0501A">
        <w:rPr>
          <w:b/>
          <w:bCs/>
        </w:rPr>
        <w:t>:</w:t>
      </w:r>
    </w:p>
    <w:p w14:paraId="13295CC7" w14:textId="0681FCE5" w:rsidR="004104F2" w:rsidRDefault="008C55C2" w:rsidP="00E0501A">
      <w:pPr>
        <w:spacing w:before="0" w:after="0"/>
        <w:jc w:val="center"/>
      </w:pPr>
      <w:r w:rsidRPr="008C55C2">
        <w:rPr>
          <w:noProof/>
        </w:rPr>
        <w:drawing>
          <wp:inline distT="0" distB="0" distL="0" distR="0" wp14:anchorId="7E7298BC" wp14:editId="55D2793D">
            <wp:extent cx="5408930" cy="1407795"/>
            <wp:effectExtent l="0" t="0" r="1270" b="1905"/>
            <wp:docPr id="7507955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8930" cy="1407795"/>
                    </a:xfrm>
                    <a:prstGeom prst="rect">
                      <a:avLst/>
                    </a:prstGeom>
                    <a:noFill/>
                    <a:ln>
                      <a:noFill/>
                    </a:ln>
                  </pic:spPr>
                </pic:pic>
              </a:graphicData>
            </a:graphic>
          </wp:inline>
        </w:drawing>
      </w:r>
    </w:p>
    <w:p w14:paraId="549039F8" w14:textId="5C65BC8F" w:rsidR="00867438" w:rsidRPr="00055F78" w:rsidRDefault="001308C8" w:rsidP="00E0501A">
      <w:pPr>
        <w:spacing w:before="0" w:after="0"/>
        <w:jc w:val="center"/>
        <w:rPr>
          <w:sz w:val="18"/>
        </w:rPr>
      </w:pPr>
      <w:r w:rsidRPr="00A70A09">
        <w:rPr>
          <w:sz w:val="18"/>
        </w:rPr>
        <w:t xml:space="preserve">Source data: Lonsec as of </w:t>
      </w:r>
      <w:r w:rsidR="00D528C0">
        <w:rPr>
          <w:sz w:val="18"/>
        </w:rPr>
        <w:t>3</w:t>
      </w:r>
      <w:r w:rsidR="008C55C2">
        <w:rPr>
          <w:sz w:val="18"/>
        </w:rPr>
        <w:t>1</w:t>
      </w:r>
      <w:r w:rsidR="008C55C2" w:rsidRPr="008C55C2">
        <w:rPr>
          <w:sz w:val="18"/>
          <w:vertAlign w:val="superscript"/>
        </w:rPr>
        <w:t>st</w:t>
      </w:r>
      <w:r w:rsidR="008C55C2">
        <w:rPr>
          <w:sz w:val="18"/>
        </w:rPr>
        <w:t xml:space="preserve"> Dec</w:t>
      </w:r>
      <w:r w:rsidR="00B51EA3">
        <w:rPr>
          <w:sz w:val="18"/>
        </w:rPr>
        <w:t>ember</w:t>
      </w:r>
      <w:r w:rsidR="00A001EA">
        <w:rPr>
          <w:sz w:val="18"/>
        </w:rPr>
        <w:t xml:space="preserv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BA2B8F">
        <w:fldChar w:fldCharType="separate"/>
      </w:r>
      <w:r w:rsidR="00BA2B8F">
        <w:fldChar w:fldCharType="end"/>
      </w:r>
    </w:p>
    <w:p w14:paraId="1DE3D6DE" w14:textId="22FF7309" w:rsidR="000C7672" w:rsidRPr="00E0501A" w:rsidRDefault="00A23AF0" w:rsidP="00B53288">
      <w:r w:rsidRPr="00E0501A">
        <w:t>The developed markets a</w:t>
      </w:r>
      <w:r w:rsidR="00365C86" w:rsidRPr="00E0501A">
        <w:t xml:space="preserve">sset classes </w:t>
      </w:r>
      <w:r w:rsidR="00EF6467" w:rsidRPr="00E0501A">
        <w:t>finished</w:t>
      </w:r>
      <w:r w:rsidR="00CE64CE" w:rsidRPr="00E0501A">
        <w:t xml:space="preserve"> </w:t>
      </w:r>
      <w:r w:rsidR="00B278F5" w:rsidRPr="00E0501A">
        <w:t>stronger</w:t>
      </w:r>
      <w:r w:rsidR="006078FE" w:rsidRPr="00E0501A">
        <w:t xml:space="preserve"> </w:t>
      </w:r>
      <w:r w:rsidR="00CE64CE" w:rsidRPr="00E0501A">
        <w:t xml:space="preserve">for </w:t>
      </w:r>
      <w:r w:rsidRPr="00E0501A">
        <w:t>the month</w:t>
      </w:r>
      <w:r w:rsidR="007B57BE" w:rsidRPr="00E0501A">
        <w:t>.</w:t>
      </w:r>
      <w:r w:rsidR="00365C86" w:rsidRPr="00E0501A">
        <w:t xml:space="preserve"> </w:t>
      </w:r>
      <w:r w:rsidR="007F0FC4" w:rsidRPr="00E0501A">
        <w:t xml:space="preserve">The </w:t>
      </w:r>
      <w:r w:rsidR="005F21FA" w:rsidRPr="00E0501A">
        <w:t>AUD/</w:t>
      </w:r>
      <w:r w:rsidR="007F0FC4" w:rsidRPr="00E0501A">
        <w:t>USD f</w:t>
      </w:r>
      <w:r w:rsidRPr="00E0501A">
        <w:t>inish</w:t>
      </w:r>
      <w:r w:rsidR="00E72E45" w:rsidRPr="00E0501A">
        <w:t xml:space="preserve">ed </w:t>
      </w:r>
      <w:r w:rsidR="00C92CC1" w:rsidRPr="00E0501A">
        <w:t>lower</w:t>
      </w:r>
      <w:r w:rsidR="00E72E45" w:rsidRPr="00E0501A">
        <w:t xml:space="preserve"> </w:t>
      </w:r>
      <w:r w:rsidR="00A001EA" w:rsidRPr="00E0501A">
        <w:t xml:space="preserve">at </w:t>
      </w:r>
      <w:r w:rsidR="00311F31" w:rsidRPr="00E0501A">
        <w:t>0.6</w:t>
      </w:r>
      <w:r w:rsidR="008C55C2" w:rsidRPr="00E0501A">
        <w:t>2</w:t>
      </w:r>
      <w:r w:rsidR="00B278F5" w:rsidRPr="00E0501A">
        <w:t>17</w:t>
      </w:r>
      <w:r w:rsidR="00311F31" w:rsidRPr="00E0501A">
        <w:t xml:space="preserve"> </w:t>
      </w:r>
      <w:r w:rsidRPr="00E0501A">
        <w:t>(</w:t>
      </w:r>
      <w:r w:rsidR="00B278F5" w:rsidRPr="00E0501A">
        <w:t>-</w:t>
      </w:r>
      <w:r w:rsidR="008C55C2" w:rsidRPr="00E0501A">
        <w:t>4.60</w:t>
      </w:r>
      <w:r w:rsidRPr="00E0501A">
        <w:t>%)</w:t>
      </w:r>
      <w:r w:rsidR="007F0FC4" w:rsidRPr="00E0501A">
        <w:t xml:space="preserve"> </w:t>
      </w:r>
      <w:r w:rsidR="00E72E45" w:rsidRPr="00E0501A">
        <w:t>for</w:t>
      </w:r>
      <w:r w:rsidR="007F0FC4" w:rsidRPr="00E0501A">
        <w:t xml:space="preserve"> the month which </w:t>
      </w:r>
      <w:r w:rsidR="00C92CC1" w:rsidRPr="00E0501A">
        <w:t>benefitted</w:t>
      </w:r>
      <w:r w:rsidR="007F0FC4" w:rsidRPr="00E0501A">
        <w:t xml:space="preserve"> </w:t>
      </w:r>
      <w:r w:rsidR="00E7618A" w:rsidRPr="00E0501A">
        <w:t xml:space="preserve">returns for </w:t>
      </w:r>
      <w:r w:rsidR="007F0FC4" w:rsidRPr="00E0501A">
        <w:t xml:space="preserve">unhedged holdings. </w:t>
      </w:r>
    </w:p>
    <w:p w14:paraId="4A4DCEFF" w14:textId="7D9925B4" w:rsidR="001C4340" w:rsidRPr="00E0501A" w:rsidRDefault="001C4340" w:rsidP="00B53288">
      <w:pPr>
        <w:rPr>
          <w:b/>
          <w:bCs/>
        </w:rPr>
      </w:pPr>
      <w:r w:rsidRPr="00E0501A">
        <w:rPr>
          <w:b/>
          <w:bCs/>
        </w:rPr>
        <w:lastRenderedPageBreak/>
        <w:t>Asset Class Performance</w:t>
      </w:r>
    </w:p>
    <w:p w14:paraId="5FFD9B16" w14:textId="1700A18E" w:rsidR="00EA4358" w:rsidRPr="00E0501A" w:rsidRDefault="008C55C2" w:rsidP="00E0501A">
      <w:pPr>
        <w:spacing w:before="0" w:after="0"/>
        <w:jc w:val="center"/>
      </w:pPr>
      <w:r w:rsidRPr="00E0501A">
        <w:rPr>
          <w:noProof/>
        </w:rPr>
        <w:drawing>
          <wp:inline distT="0" distB="0" distL="0" distR="0" wp14:anchorId="6CDFDDFF" wp14:editId="2492A7C0">
            <wp:extent cx="5444490" cy="3338716"/>
            <wp:effectExtent l="0" t="0" r="3810" b="0"/>
            <wp:docPr id="18958941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1865" cy="3343239"/>
                    </a:xfrm>
                    <a:prstGeom prst="rect">
                      <a:avLst/>
                    </a:prstGeom>
                    <a:noFill/>
                    <a:ln>
                      <a:noFill/>
                    </a:ln>
                  </pic:spPr>
                </pic:pic>
              </a:graphicData>
            </a:graphic>
          </wp:inline>
        </w:drawing>
      </w:r>
    </w:p>
    <w:p w14:paraId="4F173F3B" w14:textId="7924EFA2" w:rsidR="00E2343E" w:rsidRPr="00E0501A" w:rsidRDefault="001F3631" w:rsidP="00E0501A">
      <w:pPr>
        <w:spacing w:before="0" w:after="0"/>
        <w:jc w:val="center"/>
        <w:rPr>
          <w:sz w:val="16"/>
          <w:szCs w:val="16"/>
        </w:rPr>
      </w:pPr>
      <w:r w:rsidRPr="00E0501A">
        <w:rPr>
          <w:sz w:val="16"/>
          <w:szCs w:val="16"/>
        </w:rPr>
        <w:t xml:space="preserve">Data Source: Lonsec </w:t>
      </w:r>
      <w:r w:rsidR="0062338B" w:rsidRPr="00E0501A">
        <w:rPr>
          <w:sz w:val="16"/>
          <w:szCs w:val="16"/>
        </w:rPr>
        <w:t>as of</w:t>
      </w:r>
      <w:r w:rsidR="000458E9" w:rsidRPr="00E0501A">
        <w:rPr>
          <w:sz w:val="16"/>
          <w:szCs w:val="16"/>
        </w:rPr>
        <w:t xml:space="preserve"> </w:t>
      </w:r>
      <w:r w:rsidR="006C3C9E" w:rsidRPr="00E0501A">
        <w:rPr>
          <w:sz w:val="16"/>
          <w:szCs w:val="16"/>
        </w:rPr>
        <w:t>3</w:t>
      </w:r>
      <w:r w:rsidR="008C55C2" w:rsidRPr="00E0501A">
        <w:rPr>
          <w:sz w:val="16"/>
          <w:szCs w:val="16"/>
        </w:rPr>
        <w:t>1</w:t>
      </w:r>
      <w:r w:rsidR="008C55C2" w:rsidRPr="00E0501A">
        <w:rPr>
          <w:sz w:val="16"/>
          <w:szCs w:val="16"/>
          <w:vertAlign w:val="superscript"/>
        </w:rPr>
        <w:t>st</w:t>
      </w:r>
      <w:r w:rsidR="008C55C2" w:rsidRPr="00E0501A">
        <w:rPr>
          <w:sz w:val="16"/>
          <w:szCs w:val="16"/>
        </w:rPr>
        <w:t xml:space="preserve"> Dec</w:t>
      </w:r>
      <w:r w:rsidR="00B278F5" w:rsidRPr="00E0501A">
        <w:rPr>
          <w:sz w:val="16"/>
          <w:szCs w:val="16"/>
        </w:rPr>
        <w:t>ember</w:t>
      </w:r>
      <w:r w:rsidR="00063F3C" w:rsidRPr="00E0501A">
        <w:rPr>
          <w:sz w:val="16"/>
          <w:szCs w:val="16"/>
          <w:vertAlign w:val="superscript"/>
        </w:rPr>
        <w:t xml:space="preserve"> </w:t>
      </w:r>
      <w:r w:rsidR="004E3C80" w:rsidRPr="00E0501A">
        <w:rPr>
          <w:sz w:val="16"/>
          <w:szCs w:val="16"/>
        </w:rPr>
        <w:t>202</w:t>
      </w:r>
      <w:r w:rsidR="00190B5B" w:rsidRPr="00E0501A">
        <w:rPr>
          <w:sz w:val="16"/>
          <w:szCs w:val="16"/>
        </w:rPr>
        <w:t>4</w:t>
      </w:r>
      <w:r w:rsidR="0062338B" w:rsidRPr="00E0501A">
        <w:rPr>
          <w:sz w:val="16"/>
          <w:szCs w:val="16"/>
        </w:rPr>
        <w:t xml:space="preserve"> </w:t>
      </w:r>
      <w:r w:rsidRPr="00E0501A">
        <w:rPr>
          <w:sz w:val="16"/>
          <w:szCs w:val="16"/>
        </w:rPr>
        <w:t>&amp; Fox Asset Management</w:t>
      </w:r>
    </w:p>
    <w:p w14:paraId="68131F76" w14:textId="27C21049" w:rsidR="00D72B03" w:rsidRPr="00E0501A" w:rsidRDefault="007B7DEB" w:rsidP="00F6077E">
      <w:pPr>
        <w:rPr>
          <w:b/>
          <w:bCs/>
        </w:rPr>
      </w:pPr>
      <w:r w:rsidRPr="00E0501A">
        <w:rPr>
          <w:b/>
          <w:bCs/>
        </w:rPr>
        <w:t>Investment</w:t>
      </w:r>
      <w:r w:rsidR="00D72B03" w:rsidRPr="00E0501A">
        <w:rPr>
          <w:b/>
          <w:bCs/>
        </w:rPr>
        <w:t xml:space="preserve"> Climate</w:t>
      </w:r>
    </w:p>
    <w:p w14:paraId="1701C39F" w14:textId="5B618B39" w:rsidR="000678F3" w:rsidRPr="00E0501A" w:rsidRDefault="004B4415" w:rsidP="001E16AE">
      <w:pPr>
        <w:spacing w:before="120" w:after="120"/>
      </w:pPr>
      <w:r w:rsidRPr="00E0501A">
        <w:t>T</w:t>
      </w:r>
      <w:r w:rsidR="00016329" w:rsidRPr="00E0501A">
        <w:t xml:space="preserve">he </w:t>
      </w:r>
      <w:r w:rsidR="00D94036" w:rsidRPr="00E0501A">
        <w:t xml:space="preserve">underlying </w:t>
      </w:r>
      <w:r w:rsidR="00016329" w:rsidRPr="00E0501A">
        <w:t xml:space="preserve">investment climate </w:t>
      </w:r>
      <w:r w:rsidR="00A001EA" w:rsidRPr="00E0501A">
        <w:t>remains</w:t>
      </w:r>
      <w:r w:rsidR="007C64CC" w:rsidRPr="00E0501A">
        <w:t xml:space="preserve"> </w:t>
      </w:r>
      <w:r w:rsidR="001E16AE" w:rsidRPr="00E0501A">
        <w:rPr>
          <w:b/>
          <w:bCs/>
        </w:rPr>
        <w:t>“</w:t>
      </w:r>
      <w:r w:rsidR="00311F31" w:rsidRPr="00E0501A">
        <w:rPr>
          <w:b/>
          <w:bCs/>
        </w:rPr>
        <w:t>cautiously optimistic</w:t>
      </w:r>
      <w:r w:rsidR="001E16AE" w:rsidRPr="00E0501A">
        <w:rPr>
          <w:b/>
          <w:bCs/>
        </w:rPr>
        <w:t>”</w:t>
      </w:r>
      <w:r w:rsidR="00574A05" w:rsidRPr="00E0501A">
        <w:t xml:space="preserve"> </w:t>
      </w:r>
      <w:r w:rsidR="007E0186" w:rsidRPr="00E0501A">
        <w:t xml:space="preserve">in the short term </w:t>
      </w:r>
      <w:r w:rsidR="0027780B" w:rsidRPr="00E0501A">
        <w:t xml:space="preserve">as investors </w:t>
      </w:r>
      <w:r w:rsidR="00665AF3" w:rsidRPr="00E0501A">
        <w:t xml:space="preserve">are encouraged by the </w:t>
      </w:r>
      <w:r w:rsidR="00C92CC1" w:rsidRPr="00E0501A">
        <w:t xml:space="preserve">anticipated </w:t>
      </w:r>
      <w:r w:rsidR="00665AF3" w:rsidRPr="00E0501A">
        <w:t>gradual easing of interest rates</w:t>
      </w:r>
      <w:r w:rsidR="00C92CC1" w:rsidRPr="00E0501A">
        <w:t xml:space="preserve"> however, the </w:t>
      </w:r>
      <w:r w:rsidR="002828E4" w:rsidRPr="00E0501A">
        <w:t xml:space="preserve">unsettled nature of the </w:t>
      </w:r>
      <w:r w:rsidR="00C92CC1" w:rsidRPr="00E0501A">
        <w:t xml:space="preserve">bond markets </w:t>
      </w:r>
      <w:r w:rsidR="002828E4" w:rsidRPr="00E0501A">
        <w:t>clouds the short-term direction of shares</w:t>
      </w:r>
      <w:r w:rsidR="00665AF3" w:rsidRPr="00E0501A">
        <w:t xml:space="preserve">. </w:t>
      </w:r>
      <w:r w:rsidR="00074A1A" w:rsidRPr="00E0501A">
        <w:t>T</w:t>
      </w:r>
      <w:r w:rsidR="00B02125" w:rsidRPr="00E0501A">
        <w:t xml:space="preserve">he </w:t>
      </w:r>
      <w:r w:rsidR="00074A1A" w:rsidRPr="00E0501A">
        <w:t>soft-landing</w:t>
      </w:r>
      <w:r w:rsidR="00B02125" w:rsidRPr="00E0501A">
        <w:t xml:space="preserve"> </w:t>
      </w:r>
      <w:r w:rsidR="00074A1A" w:rsidRPr="00E0501A">
        <w:t xml:space="preserve">expectations </w:t>
      </w:r>
      <w:r w:rsidR="00B02125" w:rsidRPr="00E0501A">
        <w:t>and economic recovery</w:t>
      </w:r>
      <w:r w:rsidR="00074A1A" w:rsidRPr="00E0501A">
        <w:t xml:space="preserve"> are still supported</w:t>
      </w:r>
      <w:r w:rsidR="00854E2E" w:rsidRPr="00E0501A">
        <w:t>,</w:t>
      </w:r>
      <w:r w:rsidR="00B02125" w:rsidRPr="00E0501A">
        <w:t xml:space="preserve"> despite the </w:t>
      </w:r>
      <w:r w:rsidR="00C92CC1" w:rsidRPr="00E0501A">
        <w:t xml:space="preserve">interest rate retreat and the </w:t>
      </w:r>
      <w:r w:rsidR="002627B9" w:rsidRPr="00E0501A">
        <w:t xml:space="preserve">European and </w:t>
      </w:r>
      <w:r w:rsidR="001E16AE" w:rsidRPr="00E0501A">
        <w:t xml:space="preserve">middle east conflict. </w:t>
      </w:r>
    </w:p>
    <w:p w14:paraId="0AEB38DD" w14:textId="29DE1373" w:rsidR="001E16AE" w:rsidRPr="00E0501A" w:rsidRDefault="001E16AE" w:rsidP="001E16AE">
      <w:pPr>
        <w:spacing w:before="120" w:after="120"/>
      </w:pPr>
      <w:r w:rsidRPr="00E0501A">
        <w:t xml:space="preserve">The risk is that the conflict </w:t>
      </w:r>
      <w:r w:rsidR="00212DCC" w:rsidRPr="00E0501A">
        <w:t xml:space="preserve">in the middle east </w:t>
      </w:r>
      <w:r w:rsidRPr="00E0501A">
        <w:t>may escalate and involve neighbours which could then inflame the situation. While this situation continues</w:t>
      </w:r>
      <w:r w:rsidR="00E7618A" w:rsidRPr="00E0501A">
        <w:t xml:space="preserve"> and further sanctions are introduced</w:t>
      </w:r>
      <w:r w:rsidRPr="00E0501A">
        <w:t xml:space="preserve">, investors will be </w:t>
      </w:r>
      <w:r w:rsidR="007C64CC" w:rsidRPr="00E0501A">
        <w:t>cautious</w:t>
      </w:r>
      <w:r w:rsidRPr="00E0501A">
        <w:t xml:space="preserve"> </w:t>
      </w:r>
      <w:r w:rsidR="00B02125" w:rsidRPr="00E0501A">
        <w:t xml:space="preserve">around exposure to </w:t>
      </w:r>
      <w:r w:rsidR="007145A7" w:rsidRPr="00E0501A">
        <w:t>Europe, oil,</w:t>
      </w:r>
      <w:r w:rsidR="00B02125" w:rsidRPr="00E0501A">
        <w:t xml:space="preserve"> and gas, </w:t>
      </w:r>
      <w:r w:rsidRPr="00E0501A">
        <w:t>however an</w:t>
      </w:r>
      <w:r w:rsidR="003B1467" w:rsidRPr="00E0501A">
        <w:t>y</w:t>
      </w:r>
      <w:r w:rsidRPr="00E0501A">
        <w:t xml:space="preserve"> fall in </w:t>
      </w:r>
      <w:r w:rsidR="007C64CC" w:rsidRPr="00E0501A">
        <w:t xml:space="preserve">interest rates will spur buying in </w:t>
      </w:r>
      <w:r w:rsidRPr="00E0501A">
        <w:t xml:space="preserve">asset </w:t>
      </w:r>
      <w:r w:rsidR="007C64CC" w:rsidRPr="00E0501A">
        <w:t>classes that have been oversold in recent months (property</w:t>
      </w:r>
      <w:r w:rsidR="00E72E45" w:rsidRPr="00E0501A">
        <w:t xml:space="preserve">) </w:t>
      </w:r>
      <w:r w:rsidR="00D35CCF" w:rsidRPr="00E0501A">
        <w:t>however, the volatility of prices is a concern</w:t>
      </w:r>
      <w:r w:rsidR="003B1467" w:rsidRPr="00E0501A">
        <w:t>.</w:t>
      </w:r>
    </w:p>
    <w:p w14:paraId="4D2D3182" w14:textId="4185A67B" w:rsidR="00201A4D" w:rsidRPr="00E0501A" w:rsidRDefault="0089672B" w:rsidP="001E16AE">
      <w:pPr>
        <w:spacing w:before="120" w:after="120"/>
      </w:pPr>
      <w:r w:rsidRPr="00E0501A">
        <w:t xml:space="preserve">Consumption </w:t>
      </w:r>
      <w:r w:rsidR="00B04D6E" w:rsidRPr="00E0501A">
        <w:t xml:space="preserve">is </w:t>
      </w:r>
      <w:r w:rsidR="004361BB" w:rsidRPr="00E0501A">
        <w:t xml:space="preserve">firm and holding up well </w:t>
      </w:r>
      <w:r w:rsidR="003B1467" w:rsidRPr="00E0501A">
        <w:t xml:space="preserve">with </w:t>
      </w:r>
      <w:r w:rsidR="003B1467" w:rsidRPr="00E0501A">
        <w:rPr>
          <w:b/>
          <w:bCs/>
        </w:rPr>
        <w:t xml:space="preserve">retail sales </w:t>
      </w:r>
      <w:r w:rsidR="00C92CC1" w:rsidRPr="00E0501A">
        <w:rPr>
          <w:b/>
          <w:bCs/>
        </w:rPr>
        <w:t xml:space="preserve">YOY </w:t>
      </w:r>
      <w:r w:rsidR="003B1467" w:rsidRPr="00E0501A">
        <w:rPr>
          <w:b/>
          <w:bCs/>
        </w:rPr>
        <w:t xml:space="preserve">in Australia </w:t>
      </w:r>
      <w:r w:rsidR="00497862" w:rsidRPr="00E0501A">
        <w:rPr>
          <w:b/>
          <w:bCs/>
        </w:rPr>
        <w:t>ris</w:t>
      </w:r>
      <w:r w:rsidR="00074A1A" w:rsidRPr="00E0501A">
        <w:rPr>
          <w:b/>
          <w:bCs/>
        </w:rPr>
        <w:t>ing</w:t>
      </w:r>
      <w:r w:rsidR="003B1467" w:rsidRPr="00E0501A">
        <w:rPr>
          <w:b/>
          <w:bCs/>
        </w:rPr>
        <w:t xml:space="preserve"> by </w:t>
      </w:r>
      <w:r w:rsidR="00984AC0" w:rsidRPr="00E0501A">
        <w:rPr>
          <w:b/>
          <w:bCs/>
        </w:rPr>
        <w:t>(</w:t>
      </w:r>
      <w:r w:rsidR="00497862" w:rsidRPr="00E0501A">
        <w:rPr>
          <w:b/>
          <w:bCs/>
        </w:rPr>
        <w:t>+</w:t>
      </w:r>
      <w:r w:rsidR="00C92CC1" w:rsidRPr="00E0501A">
        <w:rPr>
          <w:b/>
          <w:bCs/>
        </w:rPr>
        <w:t>3.</w:t>
      </w:r>
      <w:r w:rsidR="00D35CCF" w:rsidRPr="00E0501A">
        <w:rPr>
          <w:b/>
          <w:bCs/>
        </w:rPr>
        <w:t>0</w:t>
      </w:r>
      <w:r w:rsidR="004361BB" w:rsidRPr="00E0501A">
        <w:rPr>
          <w:b/>
          <w:bCs/>
        </w:rPr>
        <w:t>0</w:t>
      </w:r>
      <w:r w:rsidR="00074A1A" w:rsidRPr="00E0501A">
        <w:rPr>
          <w:b/>
          <w:bCs/>
        </w:rPr>
        <w:t>%</w:t>
      </w:r>
      <w:r w:rsidR="00984AC0" w:rsidRPr="00E0501A">
        <w:rPr>
          <w:b/>
          <w:bCs/>
        </w:rPr>
        <w:t>)</w:t>
      </w:r>
      <w:r w:rsidR="003B1467" w:rsidRPr="00E0501A">
        <w:t xml:space="preserve"> in </w:t>
      </w:r>
      <w:r w:rsidR="00D35CCF" w:rsidRPr="00E0501A">
        <w:t>Novem</w:t>
      </w:r>
      <w:r w:rsidR="002828E4" w:rsidRPr="00E0501A">
        <w:t>ber</w:t>
      </w:r>
      <w:r w:rsidR="003B1467" w:rsidRPr="00E0501A">
        <w:t xml:space="preserve"> 2024 </w:t>
      </w:r>
      <w:r w:rsidR="00B04D6E" w:rsidRPr="00E0501A">
        <w:t xml:space="preserve">which </w:t>
      </w:r>
      <w:r w:rsidR="00497862" w:rsidRPr="00E0501A">
        <w:t>will</w:t>
      </w:r>
      <w:r w:rsidR="00B02125" w:rsidRPr="00E0501A">
        <w:t xml:space="preserve"> </w:t>
      </w:r>
      <w:r w:rsidR="00074A1A" w:rsidRPr="00E0501A">
        <w:t xml:space="preserve">impact company profit expectations </w:t>
      </w:r>
      <w:r w:rsidRPr="00E0501A">
        <w:t>in the short-term</w:t>
      </w:r>
      <w:r w:rsidR="004361BB" w:rsidRPr="00E0501A">
        <w:t xml:space="preserve"> and worry the RBA</w:t>
      </w:r>
      <w:r w:rsidR="00816FD5" w:rsidRPr="00E0501A">
        <w:t xml:space="preserve"> from an inflation perspective</w:t>
      </w:r>
      <w:r w:rsidR="00984AC0" w:rsidRPr="00E0501A">
        <w:t>.</w:t>
      </w:r>
      <w:r w:rsidR="00D74275" w:rsidRPr="00E0501A">
        <w:t xml:space="preserve"> </w:t>
      </w:r>
    </w:p>
    <w:p w14:paraId="6B8750FC" w14:textId="72140F64" w:rsidR="007C64CC" w:rsidRPr="00E0501A" w:rsidRDefault="00BE0AFA" w:rsidP="00F6077E">
      <w:r w:rsidRPr="00E0501A">
        <w:t xml:space="preserve">The </w:t>
      </w:r>
      <w:r w:rsidRPr="00E0501A">
        <w:rPr>
          <w:b/>
          <w:bCs/>
        </w:rPr>
        <w:t>medium-term view remains positive</w:t>
      </w:r>
      <w:r w:rsidRPr="00E0501A">
        <w:t xml:space="preserve"> for returns </w:t>
      </w:r>
      <w:r w:rsidR="00816FD5" w:rsidRPr="00E0501A">
        <w:t xml:space="preserve">following the </w:t>
      </w:r>
      <w:r w:rsidR="007C64CC" w:rsidRPr="00E0501A">
        <w:t xml:space="preserve">US Fed </w:t>
      </w:r>
      <w:r w:rsidR="00CF156A" w:rsidRPr="00E0501A">
        <w:t>Chair, Jerome Powel</w:t>
      </w:r>
      <w:r w:rsidR="00816FD5" w:rsidRPr="00E0501A">
        <w:t xml:space="preserve">s comments and the expected </w:t>
      </w:r>
      <w:r w:rsidR="00665AF3" w:rsidRPr="00E0501A">
        <w:t xml:space="preserve">further </w:t>
      </w:r>
      <w:r w:rsidR="00816FD5" w:rsidRPr="00E0501A">
        <w:t>easing of interest rates in the US</w:t>
      </w:r>
      <w:r w:rsidR="00D35CCF" w:rsidRPr="00E0501A">
        <w:t xml:space="preserve"> over 2025</w:t>
      </w:r>
      <w:r w:rsidR="00816FD5" w:rsidRPr="00E0501A">
        <w:t xml:space="preserve">. </w:t>
      </w:r>
    </w:p>
    <w:p w14:paraId="024D1376" w14:textId="09786266" w:rsidR="00524F93" w:rsidRPr="00E0501A" w:rsidRDefault="00524F93" w:rsidP="00524F93">
      <w:r w:rsidRPr="00E0501A">
        <w:rPr>
          <w:b/>
          <w:bCs/>
        </w:rPr>
        <w:t xml:space="preserve">Longer term </w:t>
      </w:r>
      <w:r w:rsidR="0089672B" w:rsidRPr="00E0501A">
        <w:rPr>
          <w:b/>
          <w:bCs/>
        </w:rPr>
        <w:t>investors</w:t>
      </w:r>
      <w:r w:rsidRPr="00E0501A">
        <w:rPr>
          <w:b/>
          <w:bCs/>
        </w:rPr>
        <w:t xml:space="preserve"> </w:t>
      </w:r>
      <w:r w:rsidR="007C64CC" w:rsidRPr="00E0501A">
        <w:rPr>
          <w:b/>
          <w:bCs/>
        </w:rPr>
        <w:t xml:space="preserve">are </w:t>
      </w:r>
      <w:r w:rsidRPr="00E0501A">
        <w:rPr>
          <w:b/>
          <w:bCs/>
        </w:rPr>
        <w:t>optimistic</w:t>
      </w:r>
      <w:r w:rsidRPr="00E0501A">
        <w:t xml:space="preserve"> for a goldilocks period ahead. Global Central Banks continue to indicate a resolve to get inflation under control however, the economic data is showing signs of </w:t>
      </w:r>
      <w:r w:rsidR="005F6840" w:rsidRPr="00E0501A">
        <w:t xml:space="preserve">an </w:t>
      </w:r>
      <w:r w:rsidR="004E1C4A" w:rsidRPr="00E0501A">
        <w:lastRenderedPageBreak/>
        <w:t>easing</w:t>
      </w:r>
      <w:r w:rsidRPr="00E0501A">
        <w:t xml:space="preserve"> </w:t>
      </w:r>
      <w:r w:rsidR="005F6840" w:rsidRPr="00E0501A">
        <w:t xml:space="preserve">in </w:t>
      </w:r>
      <w:r w:rsidRPr="00E0501A">
        <w:t>inflation</w:t>
      </w:r>
      <w:r w:rsidR="007C64CC" w:rsidRPr="00E0501A">
        <w:t xml:space="preserve"> and every indication is for future easing in monetary policy expectations for </w:t>
      </w:r>
      <w:r w:rsidR="00D35CCF" w:rsidRPr="00E0501A">
        <w:t>the first half of</w:t>
      </w:r>
      <w:r w:rsidR="00665AF3" w:rsidRPr="00E0501A">
        <w:t xml:space="preserve"> 2025</w:t>
      </w:r>
      <w:r w:rsidR="007C64CC" w:rsidRPr="00E0501A">
        <w:t xml:space="preserve">. Remember </w:t>
      </w:r>
      <w:r w:rsidR="007C64CC" w:rsidRPr="00E0501A">
        <w:rPr>
          <w:b/>
          <w:bCs/>
        </w:rPr>
        <w:t>markets are forward looking</w:t>
      </w:r>
      <w:r w:rsidR="007C64CC" w:rsidRPr="00E0501A">
        <w:t xml:space="preserve"> so the support now is reflecting the expectations for conditions in </w:t>
      </w:r>
      <w:r w:rsidR="00D35CCF" w:rsidRPr="00E0501A">
        <w:t>September</w:t>
      </w:r>
      <w:r w:rsidR="007C64CC" w:rsidRPr="00E0501A">
        <w:t xml:space="preserve"> 202</w:t>
      </w:r>
      <w:r w:rsidR="00984AC0" w:rsidRPr="00E0501A">
        <w:t>5</w:t>
      </w:r>
      <w:r w:rsidR="007C64CC" w:rsidRPr="00E0501A">
        <w:t>.</w:t>
      </w:r>
      <w:r w:rsidRPr="00E0501A">
        <w:t xml:space="preserve"> </w:t>
      </w:r>
    </w:p>
    <w:p w14:paraId="6F8EECA2" w14:textId="0524C3E5" w:rsidR="00025089" w:rsidRPr="00E0501A" w:rsidRDefault="00025089" w:rsidP="008614EE">
      <w:pPr>
        <w:spacing w:before="120" w:after="120" w:line="240" w:lineRule="auto"/>
        <w:rPr>
          <w:b/>
          <w:bCs/>
        </w:rPr>
      </w:pPr>
      <w:r w:rsidRPr="00E0501A">
        <w:rPr>
          <w:b/>
          <w:bCs/>
        </w:rPr>
        <w:t xml:space="preserve">The following commentary is based on month-end closing prices as </w:t>
      </w:r>
      <w:r w:rsidR="00E97818" w:rsidRPr="00E0501A">
        <w:rPr>
          <w:b/>
          <w:bCs/>
        </w:rPr>
        <w:t>of</w:t>
      </w:r>
      <w:r w:rsidRPr="00E0501A">
        <w:rPr>
          <w:b/>
          <w:bCs/>
        </w:rPr>
        <w:t xml:space="preserve"> </w:t>
      </w:r>
      <w:r w:rsidR="00FA1935" w:rsidRPr="00E0501A">
        <w:rPr>
          <w:b/>
          <w:bCs/>
        </w:rPr>
        <w:t>3</w:t>
      </w:r>
      <w:r w:rsidR="00E37072" w:rsidRPr="00E0501A">
        <w:rPr>
          <w:b/>
          <w:bCs/>
        </w:rPr>
        <w:t>1</w:t>
      </w:r>
      <w:r w:rsidR="00E37072" w:rsidRPr="00E0501A">
        <w:rPr>
          <w:b/>
          <w:bCs/>
          <w:vertAlign w:val="superscript"/>
        </w:rPr>
        <w:t>st</w:t>
      </w:r>
      <w:r w:rsidR="00E37072" w:rsidRPr="00E0501A">
        <w:rPr>
          <w:b/>
          <w:bCs/>
        </w:rPr>
        <w:t xml:space="preserve"> December</w:t>
      </w:r>
      <w:r w:rsidRPr="00E0501A">
        <w:rPr>
          <w:b/>
          <w:bCs/>
        </w:rPr>
        <w:t xml:space="preserve"> </w:t>
      </w:r>
      <w:r w:rsidR="002F0E91" w:rsidRPr="00E0501A">
        <w:rPr>
          <w:b/>
          <w:bCs/>
        </w:rPr>
        <w:t>202</w:t>
      </w:r>
      <w:r w:rsidR="00FA390E" w:rsidRPr="00E0501A">
        <w:rPr>
          <w:b/>
          <w:bCs/>
        </w:rPr>
        <w:t>4</w:t>
      </w:r>
      <w:r w:rsidR="00181027" w:rsidRPr="00E0501A">
        <w:rPr>
          <w:b/>
          <w:bCs/>
        </w:rPr>
        <w:t>:</w:t>
      </w:r>
      <w:r w:rsidRPr="00E0501A">
        <w:rPr>
          <w:b/>
          <w:bCs/>
        </w:rPr>
        <w:t xml:space="preserve"> </w:t>
      </w:r>
    </w:p>
    <w:p w14:paraId="1C9B1309" w14:textId="46FB7444" w:rsidR="00A769F6" w:rsidRPr="00E0501A" w:rsidRDefault="007B239A" w:rsidP="009E7EF6">
      <w:pPr>
        <w:spacing w:before="120" w:after="120" w:line="240" w:lineRule="auto"/>
      </w:pPr>
      <w:r w:rsidRPr="00E0501A">
        <w:t xml:space="preserve">Global </w:t>
      </w:r>
      <w:r w:rsidR="00CB2DF1" w:rsidRPr="00E0501A">
        <w:t xml:space="preserve">share </w:t>
      </w:r>
      <w:r w:rsidR="00F82AE9" w:rsidRPr="00E0501A">
        <w:t xml:space="preserve">markets </w:t>
      </w:r>
      <w:r w:rsidR="00FA390E" w:rsidRPr="00E0501A">
        <w:t xml:space="preserve">over </w:t>
      </w:r>
      <w:r w:rsidR="00E37072" w:rsidRPr="00E0501A">
        <w:t>Dece</w:t>
      </w:r>
      <w:r w:rsidR="0055685E" w:rsidRPr="00E0501A">
        <w:t>mber</w:t>
      </w:r>
      <w:r w:rsidR="00B752EF" w:rsidRPr="00E0501A">
        <w:t xml:space="preserve"> were </w:t>
      </w:r>
      <w:r w:rsidR="0055685E" w:rsidRPr="00E0501A">
        <w:t xml:space="preserve">mixed </w:t>
      </w:r>
      <w:r w:rsidR="00131EB9" w:rsidRPr="00E0501A">
        <w:t xml:space="preserve">with </w:t>
      </w:r>
      <w:r w:rsidR="00A769F6" w:rsidRPr="00E0501A">
        <w:t>returns impacted the USD strengthening against the AUD resulted in currency gains for unhedged US investors of (+4.60%). The AUD/USD weakened from 0.6517 to 0.6217. The AUD/USD has since continued to fall trading at 0.6189 (10th of January 2025) in recent trading (down -0.45%) from the December 2024 month end close after trading as low as 0.6144 in recent days.</w:t>
      </w:r>
    </w:p>
    <w:p w14:paraId="3EB233A4" w14:textId="77777777" w:rsidR="00BC0503" w:rsidRPr="00E0501A" w:rsidRDefault="00BC0503" w:rsidP="009E7EF6">
      <w:pPr>
        <w:spacing w:before="120" w:after="120" w:line="240" w:lineRule="auto"/>
      </w:pPr>
      <w:r w:rsidRPr="00E0501A">
        <w:t xml:space="preserve">The US has continued the easing bias in monetary policy by lowering the target range for federal funds by 0.25% to </w:t>
      </w:r>
      <w:r w:rsidRPr="00E0501A">
        <w:rPr>
          <w:b/>
          <w:bCs/>
        </w:rPr>
        <w:t>4.25%-4.50%</w:t>
      </w:r>
      <w:r w:rsidRPr="00E0501A">
        <w:t xml:space="preserve"> when it met on the 17-18</w:t>
      </w:r>
      <w:r w:rsidRPr="00E0501A">
        <w:rPr>
          <w:vertAlign w:val="superscript"/>
        </w:rPr>
        <w:t>th</w:t>
      </w:r>
      <w:r w:rsidRPr="00E0501A">
        <w:t xml:space="preserve"> December 2024. Investors are gaining more confidence that the economy is headed for a soft landing. The underlying theme is positive for shares however, the sharp retracement moves in the bond market in October to December had stalled further aggressive risk-on trades however, since the Republican election victory, investors see positive signs for 2025. </w:t>
      </w:r>
    </w:p>
    <w:p w14:paraId="2BFD0D32" w14:textId="457543AE" w:rsidR="00FC4FEF" w:rsidRPr="00E0501A" w:rsidRDefault="00BC0503" w:rsidP="009E7EF6">
      <w:pPr>
        <w:spacing w:before="120" w:after="120" w:line="240" w:lineRule="auto"/>
      </w:pPr>
      <w:r w:rsidRPr="00E0501A">
        <w:t>We expect the first quarter of 2025 to be volatile as traders return to their desks after the festive break and test the market’s resilience.</w:t>
      </w:r>
    </w:p>
    <w:p w14:paraId="0A5C3F6D" w14:textId="77777777" w:rsidR="00FC4FEF" w:rsidRPr="00E0501A" w:rsidRDefault="00FC4FEF" w:rsidP="009E7EF6">
      <w:pPr>
        <w:spacing w:before="120" w:after="120" w:line="240" w:lineRule="auto"/>
      </w:pPr>
    </w:p>
    <w:p w14:paraId="6A0D8148" w14:textId="392BE297" w:rsidR="00B02125" w:rsidRPr="00E0501A" w:rsidRDefault="000035CC" w:rsidP="009E7EF6">
      <w:pPr>
        <w:spacing w:before="120" w:after="120" w:line="240" w:lineRule="auto"/>
        <w:rPr>
          <w:b/>
          <w:bCs/>
        </w:rPr>
      </w:pPr>
      <w:r w:rsidRPr="00E0501A">
        <w:rPr>
          <w:b/>
          <w:bCs/>
        </w:rPr>
        <w:t xml:space="preserve">Summary of </w:t>
      </w:r>
      <w:r w:rsidR="00BB456F" w:rsidRPr="00E0501A">
        <w:rPr>
          <w:b/>
          <w:bCs/>
        </w:rPr>
        <w:t xml:space="preserve">global </w:t>
      </w:r>
      <w:r w:rsidRPr="00E0501A">
        <w:rPr>
          <w:b/>
          <w:bCs/>
        </w:rPr>
        <w:t>share returns</w:t>
      </w:r>
      <w:r w:rsidR="009718C7" w:rsidRPr="00E0501A">
        <w:rPr>
          <w:b/>
          <w:bCs/>
        </w:rPr>
        <w:t xml:space="preserve"> in AUD terms</w:t>
      </w:r>
      <w:r w:rsidRPr="00E0501A">
        <w:rPr>
          <w:b/>
          <w:bCs/>
        </w:rPr>
        <w:t>:</w:t>
      </w:r>
    </w:p>
    <w:p w14:paraId="7204A7A0" w14:textId="53EE7C8B" w:rsidR="00CB2DF1" w:rsidRPr="00E0501A" w:rsidRDefault="00E37072" w:rsidP="00E0501A">
      <w:pPr>
        <w:spacing w:before="0" w:after="0" w:line="240" w:lineRule="auto"/>
        <w:jc w:val="center"/>
      </w:pPr>
      <w:r w:rsidRPr="00E0501A">
        <w:rPr>
          <w:noProof/>
        </w:rPr>
        <w:drawing>
          <wp:inline distT="0" distB="0" distL="0" distR="0" wp14:anchorId="03D0B507" wp14:editId="5768360D">
            <wp:extent cx="3934460" cy="1812290"/>
            <wp:effectExtent l="0" t="0" r="8890" b="0"/>
            <wp:docPr id="67534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4460" cy="1812290"/>
                    </a:xfrm>
                    <a:prstGeom prst="rect">
                      <a:avLst/>
                    </a:prstGeom>
                    <a:noFill/>
                    <a:ln>
                      <a:noFill/>
                    </a:ln>
                  </pic:spPr>
                </pic:pic>
              </a:graphicData>
            </a:graphic>
          </wp:inline>
        </w:drawing>
      </w:r>
    </w:p>
    <w:p w14:paraId="37653ECA" w14:textId="5549CE2B" w:rsidR="00FC4FEF" w:rsidRPr="00E0501A" w:rsidRDefault="00FC4FEF" w:rsidP="00E0501A">
      <w:pPr>
        <w:spacing w:before="0" w:after="0" w:line="240" w:lineRule="auto"/>
        <w:jc w:val="center"/>
      </w:pPr>
      <w:r w:rsidRPr="00E0501A">
        <w:rPr>
          <w:sz w:val="16"/>
          <w:szCs w:val="16"/>
        </w:rPr>
        <w:t>Data Source: Lonsec as of 3</w:t>
      </w:r>
      <w:r w:rsidR="00E37072" w:rsidRPr="00E0501A">
        <w:rPr>
          <w:sz w:val="16"/>
          <w:szCs w:val="16"/>
        </w:rPr>
        <w:t>1</w:t>
      </w:r>
      <w:r w:rsidR="00E37072" w:rsidRPr="00E0501A">
        <w:rPr>
          <w:sz w:val="16"/>
          <w:szCs w:val="16"/>
          <w:vertAlign w:val="superscript"/>
        </w:rPr>
        <w:t>st</w:t>
      </w:r>
      <w:r w:rsidR="00E37072" w:rsidRPr="00E0501A">
        <w:rPr>
          <w:sz w:val="16"/>
          <w:szCs w:val="16"/>
        </w:rPr>
        <w:t xml:space="preserve"> December</w:t>
      </w:r>
      <w:r w:rsidRPr="00E0501A">
        <w:rPr>
          <w:sz w:val="16"/>
          <w:szCs w:val="16"/>
          <w:vertAlign w:val="superscript"/>
        </w:rPr>
        <w:t xml:space="preserve"> </w:t>
      </w:r>
      <w:r w:rsidRPr="00E0501A">
        <w:rPr>
          <w:sz w:val="16"/>
          <w:szCs w:val="16"/>
        </w:rPr>
        <w:t>2024</w:t>
      </w:r>
    </w:p>
    <w:p w14:paraId="3E617E0D" w14:textId="77777777" w:rsidR="009718C7" w:rsidRPr="00E0501A" w:rsidRDefault="00F3465F" w:rsidP="009E7EF6">
      <w:pPr>
        <w:spacing w:before="120" w:after="120" w:line="240" w:lineRule="auto"/>
      </w:pPr>
      <w:r w:rsidRPr="00E0501A">
        <w:t>T</w:t>
      </w:r>
      <w:r w:rsidR="00BC034A" w:rsidRPr="00E0501A">
        <w:t>he</w:t>
      </w:r>
      <w:r w:rsidR="00D76073" w:rsidRPr="00E0501A">
        <w:t xml:space="preserve"> situation in</w:t>
      </w:r>
      <w:r w:rsidRPr="00E0501A">
        <w:t xml:space="preserve"> Russia/Ukraine </w:t>
      </w:r>
      <w:r w:rsidR="00BC034A" w:rsidRPr="00E0501A">
        <w:t>conflict</w:t>
      </w:r>
      <w:r w:rsidR="00D76073" w:rsidRPr="00E0501A">
        <w:t xml:space="preserve"> remains unchanged </w:t>
      </w:r>
      <w:r w:rsidR="00403EC7" w:rsidRPr="00E0501A">
        <w:t xml:space="preserve">however </w:t>
      </w:r>
      <w:r w:rsidR="00802E86" w:rsidRPr="00E0501A">
        <w:t>the latest conflict between Israel</w:t>
      </w:r>
      <w:r w:rsidR="00131EB9" w:rsidRPr="00E0501A">
        <w:t>,</w:t>
      </w:r>
      <w:r w:rsidR="00802E86" w:rsidRPr="00E0501A">
        <w:t xml:space="preserve"> </w:t>
      </w:r>
      <w:r w:rsidR="00131EB9" w:rsidRPr="00E0501A">
        <w:t>Gaza (</w:t>
      </w:r>
      <w:r w:rsidR="00802E86" w:rsidRPr="00E0501A">
        <w:t>H</w:t>
      </w:r>
      <w:r w:rsidR="008F5026" w:rsidRPr="00E0501A">
        <w:t>a</w:t>
      </w:r>
      <w:r w:rsidR="00802E86" w:rsidRPr="00E0501A">
        <w:t>mas</w:t>
      </w:r>
      <w:r w:rsidR="00131EB9" w:rsidRPr="00E0501A">
        <w:t>) and now Lebanon</w:t>
      </w:r>
      <w:r w:rsidR="00802E86" w:rsidRPr="00E0501A">
        <w:t xml:space="preserve"> </w:t>
      </w:r>
      <w:r w:rsidR="009718C7" w:rsidRPr="00E0501A">
        <w:t>is showing signs of abating with cease fire talks underway.</w:t>
      </w:r>
    </w:p>
    <w:p w14:paraId="4D1ADF38" w14:textId="1D5773F5" w:rsidR="00BD000B" w:rsidRPr="00E0501A" w:rsidRDefault="00403EC7" w:rsidP="009E7EF6">
      <w:pPr>
        <w:spacing w:before="120" w:after="120" w:line="240" w:lineRule="auto"/>
      </w:pPr>
      <w:r w:rsidRPr="00E0501A">
        <w:t>U</w:t>
      </w:r>
      <w:r w:rsidR="00B700A9" w:rsidRPr="00E0501A">
        <w:t>nfortunately,</w:t>
      </w:r>
      <w:r w:rsidR="00F24335" w:rsidRPr="00E0501A">
        <w:t xml:space="preserve"> a resolution </w:t>
      </w:r>
      <w:r w:rsidR="0025751D" w:rsidRPr="00E0501A">
        <w:t xml:space="preserve">to the </w:t>
      </w:r>
      <w:r w:rsidR="005200E9" w:rsidRPr="00E0501A">
        <w:t xml:space="preserve">regional conflict </w:t>
      </w:r>
      <w:r w:rsidR="009718C7" w:rsidRPr="00E0501A">
        <w:t>may be a</w:t>
      </w:r>
      <w:r w:rsidR="00F24335" w:rsidRPr="00E0501A">
        <w:t xml:space="preserve"> way off </w:t>
      </w:r>
      <w:r w:rsidR="009718C7" w:rsidRPr="00E0501A">
        <w:t>however</w:t>
      </w:r>
      <w:r w:rsidR="00D7423A" w:rsidRPr="00E0501A">
        <w:t xml:space="preserve">, the underlying economies </w:t>
      </w:r>
      <w:r w:rsidR="005200E9" w:rsidRPr="00E0501A">
        <w:t xml:space="preserve">elsewhere </w:t>
      </w:r>
      <w:r w:rsidR="00D7423A" w:rsidRPr="00E0501A">
        <w:t xml:space="preserve">are emerging </w:t>
      </w:r>
      <w:r w:rsidR="005200E9" w:rsidRPr="00E0501A">
        <w:t xml:space="preserve">with a more growth orientated momentum </w:t>
      </w:r>
      <w:r w:rsidR="00D7423A" w:rsidRPr="00E0501A">
        <w:t xml:space="preserve">after such </w:t>
      </w:r>
      <w:r w:rsidR="00216D19" w:rsidRPr="00E0501A">
        <w:t>an extended period</w:t>
      </w:r>
      <w:r w:rsidR="00D7423A" w:rsidRPr="00E0501A">
        <w:t xml:space="preserve"> of uncertainty.</w:t>
      </w:r>
    </w:p>
    <w:p w14:paraId="246E64DC" w14:textId="5326D7BA" w:rsidR="00BC1541" w:rsidRPr="00E0501A" w:rsidRDefault="00BC1541" w:rsidP="009E7EF6">
      <w:pPr>
        <w:tabs>
          <w:tab w:val="left" w:pos="5520"/>
        </w:tabs>
        <w:spacing w:before="120" w:after="120" w:line="240" w:lineRule="auto"/>
        <w:rPr>
          <w:b/>
          <w:bCs/>
        </w:rPr>
      </w:pPr>
      <w:r w:rsidRPr="00E0501A">
        <w:rPr>
          <w:b/>
          <w:bCs/>
        </w:rPr>
        <w:t>Investor Focus</w:t>
      </w:r>
    </w:p>
    <w:p w14:paraId="4E857430" w14:textId="1E881FF5" w:rsidR="00E210AE" w:rsidRPr="00E0501A" w:rsidRDefault="00257621" w:rsidP="00E210AE">
      <w:pPr>
        <w:tabs>
          <w:tab w:val="left" w:pos="5520"/>
        </w:tabs>
        <w:spacing w:before="120" w:after="120" w:line="240" w:lineRule="auto"/>
      </w:pPr>
      <w:r w:rsidRPr="00E0501A">
        <w:rPr>
          <w:b/>
          <w:bCs/>
        </w:rPr>
        <w:t>For Australia</w:t>
      </w:r>
      <w:r w:rsidRPr="00E0501A">
        <w:t>, i</w:t>
      </w:r>
      <w:r w:rsidR="00CF1D42" w:rsidRPr="00E0501A">
        <w:t>nvestors</w:t>
      </w:r>
      <w:r w:rsidR="009E7EF6" w:rsidRPr="00E0501A">
        <w:t xml:space="preserve"> focus</w:t>
      </w:r>
      <w:r w:rsidRPr="00E0501A">
        <w:t>sed o</w:t>
      </w:r>
      <w:r w:rsidR="00E52572" w:rsidRPr="00E0501A">
        <w:t>n</w:t>
      </w:r>
      <w:r w:rsidR="00BC1541" w:rsidRPr="00E0501A">
        <w:t xml:space="preserve"> </w:t>
      </w:r>
      <w:r w:rsidR="00E52572" w:rsidRPr="00E0501A">
        <w:t>the following</w:t>
      </w:r>
      <w:r w:rsidR="00790F5A" w:rsidRPr="00E0501A">
        <w:t xml:space="preserve"> issues:</w:t>
      </w:r>
    </w:p>
    <w:p w14:paraId="1159AA1C" w14:textId="6733C169" w:rsidR="005200E9" w:rsidRPr="00E0501A" w:rsidRDefault="00C52E4A" w:rsidP="003C40F3">
      <w:pPr>
        <w:pStyle w:val="ListParagraph"/>
        <w:numPr>
          <w:ilvl w:val="0"/>
          <w:numId w:val="6"/>
        </w:numPr>
        <w:spacing w:before="0" w:after="0" w:line="276" w:lineRule="auto"/>
        <w:ind w:left="357" w:hanging="357"/>
      </w:pPr>
      <w:r w:rsidRPr="00E0501A">
        <w:rPr>
          <w:b/>
          <w:bCs/>
        </w:rPr>
        <w:t>Cost of living expenses</w:t>
      </w:r>
      <w:r w:rsidRPr="00E0501A">
        <w:t xml:space="preserve"> and the impact on </w:t>
      </w:r>
      <w:r w:rsidRPr="00E0501A">
        <w:rPr>
          <w:b/>
          <w:bCs/>
        </w:rPr>
        <w:t>consumer spending</w:t>
      </w:r>
      <w:r w:rsidR="00617146" w:rsidRPr="00E0501A">
        <w:t>.</w:t>
      </w:r>
    </w:p>
    <w:p w14:paraId="71F71B01" w14:textId="447BD945" w:rsidR="00C52E4A" w:rsidRPr="00E0501A" w:rsidRDefault="00131EB9" w:rsidP="003C40F3">
      <w:pPr>
        <w:pStyle w:val="ListParagraph"/>
        <w:numPr>
          <w:ilvl w:val="0"/>
          <w:numId w:val="6"/>
        </w:numPr>
        <w:spacing w:before="0" w:after="0" w:line="276" w:lineRule="auto"/>
        <w:ind w:left="357" w:hanging="357"/>
      </w:pPr>
      <w:r w:rsidRPr="00E0501A">
        <w:rPr>
          <w:b/>
          <w:bCs/>
        </w:rPr>
        <w:t>C</w:t>
      </w:r>
      <w:r w:rsidR="00382D5C" w:rsidRPr="00E0501A">
        <w:rPr>
          <w:b/>
          <w:bCs/>
        </w:rPr>
        <w:t xml:space="preserve">ommodity prices </w:t>
      </w:r>
      <w:r w:rsidRPr="00E0501A">
        <w:t xml:space="preserve">(post China policy changes) </w:t>
      </w:r>
      <w:r w:rsidR="00382D5C" w:rsidRPr="00E0501A">
        <w:rPr>
          <w:b/>
          <w:bCs/>
        </w:rPr>
        <w:t>and the impact on company profits</w:t>
      </w:r>
    </w:p>
    <w:p w14:paraId="78654FD1" w14:textId="73FF2CF2" w:rsidR="00C52E4A" w:rsidRPr="00E0501A" w:rsidRDefault="00C52E4A" w:rsidP="003C40F3">
      <w:pPr>
        <w:pStyle w:val="ListParagraph"/>
        <w:numPr>
          <w:ilvl w:val="0"/>
          <w:numId w:val="6"/>
        </w:numPr>
        <w:spacing w:before="0" w:after="0" w:line="276" w:lineRule="auto"/>
        <w:ind w:left="357" w:hanging="357"/>
      </w:pPr>
      <w:r w:rsidRPr="00E0501A">
        <w:lastRenderedPageBreak/>
        <w:t xml:space="preserve">The level of </w:t>
      </w:r>
      <w:r w:rsidRPr="00E0501A">
        <w:rPr>
          <w:b/>
          <w:bCs/>
        </w:rPr>
        <w:t>interest rates</w:t>
      </w:r>
      <w:r w:rsidRPr="00E0501A">
        <w:t xml:space="preserve"> and the delicate position of the RBA given </w:t>
      </w:r>
      <w:r w:rsidR="001B3379" w:rsidRPr="00E0501A">
        <w:t xml:space="preserve">the elevated </w:t>
      </w:r>
      <w:r w:rsidRPr="00E0501A">
        <w:t xml:space="preserve">inflation </w:t>
      </w:r>
      <w:r w:rsidR="008261BB" w:rsidRPr="00E0501A">
        <w:t>level</w:t>
      </w:r>
      <w:r w:rsidRPr="00E0501A">
        <w:t>.</w:t>
      </w:r>
    </w:p>
    <w:p w14:paraId="72D4FB61" w14:textId="3D232855" w:rsidR="00C52E4A" w:rsidRPr="00E0501A" w:rsidRDefault="00C52E4A" w:rsidP="003C40F3">
      <w:pPr>
        <w:pStyle w:val="ListParagraph"/>
        <w:numPr>
          <w:ilvl w:val="0"/>
          <w:numId w:val="6"/>
        </w:numPr>
        <w:spacing w:before="0" w:after="0" w:line="276" w:lineRule="auto"/>
        <w:ind w:left="357" w:hanging="357"/>
      </w:pPr>
      <w:r w:rsidRPr="00E0501A">
        <w:rPr>
          <w:b/>
          <w:bCs/>
        </w:rPr>
        <w:t>Inflation</w:t>
      </w:r>
      <w:r w:rsidRPr="00E0501A">
        <w:t xml:space="preserve"> </w:t>
      </w:r>
      <w:r w:rsidR="00382D5C" w:rsidRPr="00E0501A">
        <w:t xml:space="preserve">(Y-O-Y) </w:t>
      </w:r>
      <w:r w:rsidRPr="00E0501A">
        <w:t xml:space="preserve">remains </w:t>
      </w:r>
      <w:r w:rsidR="00CB2DF1" w:rsidRPr="00E0501A">
        <w:t xml:space="preserve">elevated </w:t>
      </w:r>
      <w:r w:rsidR="00382D5C" w:rsidRPr="00E0501A">
        <w:t xml:space="preserve"> at </w:t>
      </w:r>
      <w:r w:rsidR="00CB2DF1" w:rsidRPr="00E0501A">
        <w:t>2.8</w:t>
      </w:r>
      <w:r w:rsidRPr="00E0501A">
        <w:t xml:space="preserve">% </w:t>
      </w:r>
      <w:r w:rsidR="00CB2DF1" w:rsidRPr="00E0501A">
        <w:t>down</w:t>
      </w:r>
      <w:r w:rsidR="008F3798" w:rsidRPr="00E0501A">
        <w:t xml:space="preserve"> </w:t>
      </w:r>
      <w:r w:rsidRPr="00E0501A">
        <w:t xml:space="preserve">from </w:t>
      </w:r>
      <w:r w:rsidR="008F3798" w:rsidRPr="00E0501A">
        <w:t>3.</w:t>
      </w:r>
      <w:r w:rsidR="00CB2DF1" w:rsidRPr="00E0501A">
        <w:t>8</w:t>
      </w:r>
      <w:r w:rsidRPr="00E0501A">
        <w:t xml:space="preserve">% in the </w:t>
      </w:r>
      <w:r w:rsidR="00382D5C" w:rsidRPr="00E0501A">
        <w:t>second</w:t>
      </w:r>
      <w:r w:rsidRPr="00E0501A">
        <w:t xml:space="preserve"> quarter of 202</w:t>
      </w:r>
      <w:r w:rsidR="008F3798" w:rsidRPr="00E0501A">
        <w:t>4</w:t>
      </w:r>
      <w:r w:rsidRPr="00E0501A">
        <w:t xml:space="preserve"> which </w:t>
      </w:r>
      <w:r w:rsidR="008F3798" w:rsidRPr="00E0501A">
        <w:t>is</w:t>
      </w:r>
      <w:r w:rsidR="00CB2DF1" w:rsidRPr="00E0501A">
        <w:t xml:space="preserve"> finally</w:t>
      </w:r>
      <w:r w:rsidRPr="00E0501A">
        <w:t xml:space="preserve"> heading in the right direction</w:t>
      </w:r>
      <w:r w:rsidR="00CB2DF1" w:rsidRPr="00E0501A">
        <w:t>.</w:t>
      </w:r>
    </w:p>
    <w:p w14:paraId="5BA48DC4" w14:textId="3E3B3C2A" w:rsidR="00531BEC" w:rsidRPr="00E0501A" w:rsidRDefault="00531BEC" w:rsidP="003C40F3">
      <w:pPr>
        <w:pStyle w:val="ListParagraph"/>
        <w:numPr>
          <w:ilvl w:val="0"/>
          <w:numId w:val="6"/>
        </w:numPr>
        <w:spacing w:before="0" w:after="0" w:line="276" w:lineRule="auto"/>
        <w:ind w:left="357" w:hanging="357"/>
      </w:pPr>
      <w:r w:rsidRPr="00E0501A">
        <w:rPr>
          <w:b/>
          <w:bCs/>
        </w:rPr>
        <w:t xml:space="preserve">Government spending </w:t>
      </w:r>
      <w:r w:rsidRPr="00E0501A">
        <w:t>and the rising debt level.</w:t>
      </w:r>
    </w:p>
    <w:p w14:paraId="206FBAA8" w14:textId="77777777" w:rsidR="00131EB9" w:rsidRPr="00E0501A" w:rsidRDefault="00220A49" w:rsidP="003519E4">
      <w:pPr>
        <w:pStyle w:val="ListParagraph"/>
        <w:numPr>
          <w:ilvl w:val="0"/>
          <w:numId w:val="6"/>
        </w:numPr>
        <w:spacing w:before="0" w:after="0" w:line="276" w:lineRule="auto"/>
        <w:ind w:left="357" w:hanging="357"/>
        <w:rPr>
          <w:rFonts w:asciiTheme="minorHAnsi" w:eastAsiaTheme="minorEastAsia" w:hAnsiTheme="minorHAnsi" w:cstheme="minorBidi"/>
          <w:iCs w:val="0"/>
          <w:lang w:bidi="ar-SA"/>
        </w:rPr>
      </w:pPr>
      <w:r w:rsidRPr="00E0501A">
        <w:rPr>
          <w:b/>
          <w:bCs/>
        </w:rPr>
        <w:t>China growth prospects</w:t>
      </w:r>
      <w:r w:rsidRPr="00E0501A">
        <w:t xml:space="preserve"> –</w:t>
      </w:r>
      <w:r w:rsidR="00A87065" w:rsidRPr="00E0501A">
        <w:t xml:space="preserve"> </w:t>
      </w:r>
      <w:r w:rsidR="00131EB9" w:rsidRPr="00E0501A">
        <w:t xml:space="preserve">Now that the PBoC has released the next round of policy changes, the markets have reacted positively. There are still concerns about whether they have done enough however, it has given a much-needed boost to markets. </w:t>
      </w:r>
    </w:p>
    <w:p w14:paraId="5709ED26" w14:textId="77777777" w:rsidR="00BB456F" w:rsidRPr="00E0501A" w:rsidRDefault="00BB456F" w:rsidP="00BB456F">
      <w:pPr>
        <w:spacing w:before="0" w:after="0"/>
      </w:pPr>
    </w:p>
    <w:p w14:paraId="46D6F0C5" w14:textId="4F08D211" w:rsidR="009E7EF6" w:rsidRPr="00E0501A" w:rsidRDefault="006C3294" w:rsidP="00E0501A">
      <w:pPr>
        <w:pStyle w:val="Heading2"/>
        <w:spacing w:before="0"/>
        <w:rPr>
          <w:rFonts w:asciiTheme="minorHAnsi" w:eastAsiaTheme="minorEastAsia" w:hAnsiTheme="minorHAnsi" w:cstheme="minorBidi"/>
          <w:iCs w:val="0"/>
          <w:color w:val="414042" w:themeColor="text1"/>
          <w:sz w:val="22"/>
          <w:lang w:val="en-AU" w:bidi="ar-SA"/>
        </w:rPr>
      </w:pPr>
      <w:r w:rsidRPr="00E0501A">
        <w:rPr>
          <w:rFonts w:asciiTheme="minorHAnsi" w:eastAsiaTheme="minorEastAsia" w:hAnsiTheme="minorHAnsi" w:cstheme="minorBidi"/>
          <w:iCs w:val="0"/>
          <w:color w:val="414042" w:themeColor="text1"/>
          <w:sz w:val="22"/>
          <w:lang w:val="en-AU" w:bidi="ar-SA"/>
        </w:rPr>
        <w:t>A</w:t>
      </w:r>
      <w:r w:rsidR="009E7EF6" w:rsidRPr="00E0501A">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Pr="00E0501A" w:rsidRDefault="0010573F" w:rsidP="00761513">
      <w:r w:rsidRPr="00E0501A">
        <w:t xml:space="preserve">Returns across the various asset classes </w:t>
      </w:r>
      <w:r w:rsidR="00C5655B" w:rsidRPr="00E0501A">
        <w:t xml:space="preserve">ended </w:t>
      </w:r>
      <w:r w:rsidR="002061AD" w:rsidRPr="00E0501A">
        <w:t>mixed</w:t>
      </w:r>
      <w:r w:rsidR="00236F73" w:rsidRPr="00E0501A">
        <w:t xml:space="preserve"> </w:t>
      </w:r>
      <w:r w:rsidR="0052476C" w:rsidRPr="00E0501A">
        <w:t xml:space="preserve">over </w:t>
      </w:r>
      <w:r w:rsidR="00C5655B" w:rsidRPr="00E0501A">
        <w:t>the month</w:t>
      </w:r>
      <w:r w:rsidR="004429BF" w:rsidRPr="00E0501A">
        <w:t>:</w:t>
      </w:r>
    </w:p>
    <w:p w14:paraId="39C4DEAF" w14:textId="0807E911" w:rsidR="00193344" w:rsidRPr="00E0501A" w:rsidRDefault="00A3027F" w:rsidP="00E0501A">
      <w:pPr>
        <w:spacing w:before="0" w:after="0"/>
        <w:jc w:val="center"/>
        <w:rPr>
          <w:sz w:val="18"/>
        </w:rPr>
      </w:pPr>
      <w:r w:rsidRPr="00E0501A">
        <w:rPr>
          <w:noProof/>
          <w:sz w:val="18"/>
        </w:rPr>
        <w:drawing>
          <wp:inline distT="0" distB="0" distL="0" distR="0" wp14:anchorId="0D9BD86A" wp14:editId="6E4729F7">
            <wp:extent cx="4241800" cy="3388053"/>
            <wp:effectExtent l="0" t="0" r="6350" b="3175"/>
            <wp:docPr id="7932858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031" cy="3389835"/>
                    </a:xfrm>
                    <a:prstGeom prst="rect">
                      <a:avLst/>
                    </a:prstGeom>
                    <a:noFill/>
                    <a:ln>
                      <a:noFill/>
                    </a:ln>
                  </pic:spPr>
                </pic:pic>
              </a:graphicData>
            </a:graphic>
          </wp:inline>
        </w:drawing>
      </w:r>
    </w:p>
    <w:p w14:paraId="23E92196" w14:textId="34CAE871" w:rsidR="00193344" w:rsidRPr="00E0501A" w:rsidRDefault="00193344" w:rsidP="00E0501A">
      <w:pPr>
        <w:spacing w:before="0" w:after="0"/>
        <w:jc w:val="center"/>
        <w:rPr>
          <w:sz w:val="18"/>
        </w:rPr>
      </w:pPr>
      <w:bookmarkStart w:id="2" w:name="_Hlk535352886"/>
      <w:r w:rsidRPr="00E0501A">
        <w:rPr>
          <w:sz w:val="18"/>
        </w:rPr>
        <w:t>Source data: Lonsec as of 3</w:t>
      </w:r>
      <w:r w:rsidR="00A3027F" w:rsidRPr="00E0501A">
        <w:rPr>
          <w:sz w:val="18"/>
        </w:rPr>
        <w:t>1</w:t>
      </w:r>
      <w:r w:rsidR="00A3027F" w:rsidRPr="00E0501A">
        <w:rPr>
          <w:sz w:val="18"/>
          <w:vertAlign w:val="superscript"/>
        </w:rPr>
        <w:t>st</w:t>
      </w:r>
      <w:r w:rsidR="00A3027F" w:rsidRPr="00E0501A">
        <w:rPr>
          <w:sz w:val="18"/>
        </w:rPr>
        <w:t xml:space="preserve"> December</w:t>
      </w:r>
      <w:r w:rsidRPr="00E0501A">
        <w:rPr>
          <w:sz w:val="18"/>
        </w:rPr>
        <w:t xml:space="preserve"> 2024</w:t>
      </w:r>
    </w:p>
    <w:bookmarkEnd w:id="2"/>
    <w:p w14:paraId="55813FFA" w14:textId="77777777" w:rsidR="009E7EF6" w:rsidRPr="00E0501A" w:rsidRDefault="009E7EF6" w:rsidP="009E7EF6">
      <w:pPr>
        <w:pStyle w:val="Heading2"/>
        <w:rPr>
          <w:rFonts w:asciiTheme="minorHAnsi" w:eastAsiaTheme="minorEastAsia" w:hAnsiTheme="minorHAnsi" w:cstheme="minorBidi"/>
          <w:iCs w:val="0"/>
          <w:color w:val="414042" w:themeColor="text1"/>
          <w:sz w:val="22"/>
          <w:lang w:val="en-AU" w:bidi="ar-SA"/>
        </w:rPr>
      </w:pPr>
      <w:r w:rsidRPr="00E0501A">
        <w:rPr>
          <w:rFonts w:asciiTheme="minorHAnsi" w:eastAsiaTheme="minorEastAsia" w:hAnsiTheme="minorHAnsi" w:cstheme="minorBidi"/>
          <w:iCs w:val="0"/>
          <w:color w:val="414042" w:themeColor="text1"/>
          <w:sz w:val="22"/>
          <w:lang w:val="en-AU" w:bidi="ar-SA"/>
        </w:rPr>
        <w:t>Global Share Returns</w:t>
      </w:r>
    </w:p>
    <w:p w14:paraId="206A9790" w14:textId="3E756F95" w:rsidR="008A4D67" w:rsidRPr="00E0501A" w:rsidRDefault="00BE2741" w:rsidP="008A4D67">
      <w:pPr>
        <w:spacing w:before="120"/>
      </w:pPr>
      <w:r w:rsidRPr="00E0501A">
        <w:t>For share markets</w:t>
      </w:r>
      <w:r w:rsidR="00DD6C05" w:rsidRPr="00E0501A">
        <w:t xml:space="preserve">, </w:t>
      </w:r>
      <w:r w:rsidR="00E51D44" w:rsidRPr="00E0501A">
        <w:t xml:space="preserve">the </w:t>
      </w:r>
      <w:r w:rsidR="003824D8" w:rsidRPr="00E0501A">
        <w:t xml:space="preserve">focus </w:t>
      </w:r>
      <w:r w:rsidR="00F65F3F" w:rsidRPr="00E0501A">
        <w:t>re</w:t>
      </w:r>
      <w:r w:rsidR="002B61FC" w:rsidRPr="00E0501A">
        <w:t xml:space="preserve">mains on </w:t>
      </w:r>
      <w:r w:rsidR="00B23557" w:rsidRPr="00E0501A">
        <w:rPr>
          <w:b/>
          <w:bCs/>
        </w:rPr>
        <w:t>inflation</w:t>
      </w:r>
      <w:r w:rsidR="0089317F" w:rsidRPr="00E0501A">
        <w:rPr>
          <w:b/>
          <w:bCs/>
        </w:rPr>
        <w:t xml:space="preserve">, employment </w:t>
      </w:r>
      <w:r w:rsidR="003C5801" w:rsidRPr="00E0501A">
        <w:t xml:space="preserve">and the </w:t>
      </w:r>
      <w:r w:rsidR="00BB456F" w:rsidRPr="00E0501A">
        <w:t>momentum</w:t>
      </w:r>
      <w:r w:rsidR="005738C3" w:rsidRPr="00E0501A">
        <w:rPr>
          <w:b/>
          <w:bCs/>
        </w:rPr>
        <w:t xml:space="preserve"> of interest rate easing</w:t>
      </w:r>
      <w:r w:rsidR="005738C3" w:rsidRPr="00E0501A">
        <w:t xml:space="preserve"> for </w:t>
      </w:r>
      <w:r w:rsidR="003C5801" w:rsidRPr="00E0501A">
        <w:t>Central Banks to</w:t>
      </w:r>
      <w:r w:rsidR="00C60EEF" w:rsidRPr="00E0501A">
        <w:t xml:space="preserve"> look at </w:t>
      </w:r>
      <w:r w:rsidR="005738C3" w:rsidRPr="00E0501A">
        <w:t>ov</w:t>
      </w:r>
      <w:r w:rsidR="00C60EEF" w:rsidRPr="00E0501A">
        <w:t xml:space="preserve">er the longer </w:t>
      </w:r>
      <w:r w:rsidR="004273DE" w:rsidRPr="00E0501A">
        <w:t>time</w:t>
      </w:r>
      <w:r w:rsidR="00C60EEF" w:rsidRPr="00E0501A">
        <w:t xml:space="preserve"> </w:t>
      </w:r>
      <w:r w:rsidR="00937E69" w:rsidRPr="00E0501A">
        <w:t xml:space="preserve">horizon </w:t>
      </w:r>
      <w:r w:rsidR="00C60EEF" w:rsidRPr="00E0501A">
        <w:t xml:space="preserve">should inflation data continue to drift lower. </w:t>
      </w:r>
      <w:r w:rsidR="007343AC" w:rsidRPr="00E0501A">
        <w:t>Unhedged g</w:t>
      </w:r>
      <w:r w:rsidR="00557108" w:rsidRPr="00E0501A">
        <w:t xml:space="preserve">lobal shares </w:t>
      </w:r>
      <w:r w:rsidR="005738C3" w:rsidRPr="00E0501A">
        <w:t xml:space="preserve">had returns </w:t>
      </w:r>
      <w:r w:rsidR="00FD54AF" w:rsidRPr="00E0501A">
        <w:t>enhanced</w:t>
      </w:r>
      <w:r w:rsidR="00382D5C" w:rsidRPr="00E0501A">
        <w:t xml:space="preserve"> by a </w:t>
      </w:r>
      <w:r w:rsidR="00755C0C" w:rsidRPr="00E0501A">
        <w:t>weak</w:t>
      </w:r>
      <w:r w:rsidR="00382D5C" w:rsidRPr="00E0501A">
        <w:t>en</w:t>
      </w:r>
      <w:r w:rsidR="005738C3" w:rsidRPr="00E0501A">
        <w:t>ing</w:t>
      </w:r>
      <w:r w:rsidR="004B2806" w:rsidRPr="00E0501A">
        <w:t xml:space="preserve"> </w:t>
      </w:r>
      <w:r w:rsidR="00557108" w:rsidRPr="00E0501A">
        <w:t>USD/AUD (0.</w:t>
      </w:r>
      <w:r w:rsidR="00382D5C" w:rsidRPr="00E0501A">
        <w:t>6</w:t>
      </w:r>
      <w:r w:rsidR="00A3027F" w:rsidRPr="00E0501A">
        <w:t>2</w:t>
      </w:r>
      <w:r w:rsidR="00BB456F" w:rsidRPr="00E0501A">
        <w:t>17</w:t>
      </w:r>
      <w:r w:rsidR="005738C3" w:rsidRPr="00E0501A">
        <w:t xml:space="preserve"> </w:t>
      </w:r>
      <w:r w:rsidR="005A428D" w:rsidRPr="00E0501A">
        <w:t>from</w:t>
      </w:r>
      <w:r w:rsidR="00557108" w:rsidRPr="00E0501A">
        <w:t xml:space="preserve"> 0.6</w:t>
      </w:r>
      <w:r w:rsidR="00BB456F" w:rsidRPr="00E0501A">
        <w:t>5</w:t>
      </w:r>
      <w:r w:rsidR="00A3027F" w:rsidRPr="00E0501A">
        <w:t>17</w:t>
      </w:r>
      <w:r w:rsidR="00557108" w:rsidRPr="00E0501A">
        <w:t xml:space="preserve">) which had </w:t>
      </w:r>
      <w:r w:rsidR="0083662A" w:rsidRPr="00E0501A">
        <w:t>a</w:t>
      </w:r>
      <w:r w:rsidR="00557108" w:rsidRPr="00E0501A">
        <w:t xml:space="preserve"> </w:t>
      </w:r>
      <w:r w:rsidR="00755C0C" w:rsidRPr="00E0501A">
        <w:rPr>
          <w:b/>
          <w:bCs/>
        </w:rPr>
        <w:t>posi</w:t>
      </w:r>
      <w:r w:rsidR="00382D5C" w:rsidRPr="00E0501A">
        <w:rPr>
          <w:b/>
          <w:bCs/>
        </w:rPr>
        <w:t>tive</w:t>
      </w:r>
      <w:r w:rsidR="00557108" w:rsidRPr="00E0501A">
        <w:rPr>
          <w:b/>
          <w:bCs/>
        </w:rPr>
        <w:t xml:space="preserve"> impact of </w:t>
      </w:r>
      <w:r w:rsidR="00F65F3F" w:rsidRPr="00E0501A">
        <w:rPr>
          <w:b/>
          <w:bCs/>
        </w:rPr>
        <w:t>(</w:t>
      </w:r>
      <w:r w:rsidR="00755C0C" w:rsidRPr="00E0501A">
        <w:rPr>
          <w:b/>
          <w:bCs/>
        </w:rPr>
        <w:t>+</w:t>
      </w:r>
      <w:r w:rsidR="00A3027F" w:rsidRPr="00E0501A">
        <w:rPr>
          <w:b/>
          <w:bCs/>
        </w:rPr>
        <w:t>4.60</w:t>
      </w:r>
      <w:r w:rsidR="00F65F3F" w:rsidRPr="00E0501A">
        <w:rPr>
          <w:b/>
          <w:bCs/>
        </w:rPr>
        <w:t xml:space="preserve">%) </w:t>
      </w:r>
      <w:r w:rsidR="0005073D" w:rsidRPr="00E0501A">
        <w:rPr>
          <w:b/>
          <w:bCs/>
        </w:rPr>
        <w:t>i</w:t>
      </w:r>
      <w:r w:rsidR="00557108" w:rsidRPr="00E0501A">
        <w:rPr>
          <w:b/>
          <w:bCs/>
        </w:rPr>
        <w:t xml:space="preserve">n </w:t>
      </w:r>
      <w:r w:rsidR="001D6939" w:rsidRPr="00E0501A">
        <w:rPr>
          <w:b/>
          <w:bCs/>
        </w:rPr>
        <w:t xml:space="preserve">AUD </w:t>
      </w:r>
      <w:r w:rsidR="00557108" w:rsidRPr="00E0501A">
        <w:rPr>
          <w:b/>
          <w:bCs/>
        </w:rPr>
        <w:t>returns</w:t>
      </w:r>
      <w:r w:rsidR="00557108" w:rsidRPr="00E0501A">
        <w:t xml:space="preserve"> over the month</w:t>
      </w:r>
      <w:r w:rsidR="00EB2B42" w:rsidRPr="00E0501A">
        <w:t xml:space="preserve"> for unhedged investors</w:t>
      </w:r>
      <w:r w:rsidR="00557108" w:rsidRPr="00E0501A">
        <w:t>.</w:t>
      </w:r>
      <w:r w:rsidR="007B7DEB" w:rsidRPr="00E0501A">
        <w:t xml:space="preserve"> </w:t>
      </w:r>
    </w:p>
    <w:p w14:paraId="13694BB7" w14:textId="43D1DAC4" w:rsidR="003C5801" w:rsidRPr="00E0501A" w:rsidRDefault="00557108" w:rsidP="008A4D67">
      <w:pPr>
        <w:spacing w:before="120"/>
      </w:pPr>
      <w:r w:rsidRPr="00E0501A">
        <w:t>M</w:t>
      </w:r>
      <w:r w:rsidR="002B052C" w:rsidRPr="00E0501A">
        <w:t xml:space="preserve">ost investors are content to </w:t>
      </w:r>
      <w:r w:rsidR="002B052C" w:rsidRPr="00E0501A">
        <w:rPr>
          <w:b/>
          <w:bCs/>
        </w:rPr>
        <w:t xml:space="preserve">stay invested and </w:t>
      </w:r>
      <w:r w:rsidR="00711DF0" w:rsidRPr="00E0501A">
        <w:rPr>
          <w:b/>
          <w:bCs/>
        </w:rPr>
        <w:t>opportunistically add to their positions</w:t>
      </w:r>
      <w:r w:rsidR="00DA22F2" w:rsidRPr="00E0501A">
        <w:t xml:space="preserve"> </w:t>
      </w:r>
      <w:r w:rsidR="008D0519" w:rsidRPr="00E0501A">
        <w:t xml:space="preserve">which has proven the correct strategy over the </w:t>
      </w:r>
      <w:r w:rsidR="0005073D" w:rsidRPr="00E0501A">
        <w:t>recent medium-term trend</w:t>
      </w:r>
      <w:r w:rsidR="008D0519" w:rsidRPr="00E0501A">
        <w:t>.</w:t>
      </w:r>
      <w:r w:rsidR="002B052C" w:rsidRPr="00E0501A">
        <w:t xml:space="preserve"> </w:t>
      </w:r>
    </w:p>
    <w:p w14:paraId="6A843746" w14:textId="6BC56FFF" w:rsidR="00317447" w:rsidRPr="00E0501A" w:rsidRDefault="00A3027F" w:rsidP="00E0501A">
      <w:pPr>
        <w:spacing w:before="0" w:after="0"/>
        <w:jc w:val="center"/>
        <w:rPr>
          <w:sz w:val="18"/>
        </w:rPr>
      </w:pPr>
      <w:r w:rsidRPr="00E0501A">
        <w:rPr>
          <w:noProof/>
          <w:sz w:val="18"/>
        </w:rPr>
        <w:lastRenderedPageBreak/>
        <w:drawing>
          <wp:inline distT="0" distB="0" distL="0" distR="0" wp14:anchorId="7239CB59" wp14:editId="33D5F46B">
            <wp:extent cx="4232726" cy="2986956"/>
            <wp:effectExtent l="0" t="0" r="0" b="4445"/>
            <wp:docPr id="1662186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5147" cy="2988664"/>
                    </a:xfrm>
                    <a:prstGeom prst="rect">
                      <a:avLst/>
                    </a:prstGeom>
                    <a:noFill/>
                    <a:ln>
                      <a:noFill/>
                    </a:ln>
                  </pic:spPr>
                </pic:pic>
              </a:graphicData>
            </a:graphic>
          </wp:inline>
        </w:drawing>
      </w:r>
    </w:p>
    <w:p w14:paraId="1D14B791" w14:textId="74146C40" w:rsidR="00CC263B" w:rsidRPr="00E0501A" w:rsidRDefault="00CC263B" w:rsidP="00E0501A">
      <w:pPr>
        <w:spacing w:before="0" w:after="0"/>
        <w:jc w:val="center"/>
        <w:rPr>
          <w:sz w:val="18"/>
        </w:rPr>
      </w:pPr>
      <w:r w:rsidRPr="00E0501A">
        <w:rPr>
          <w:sz w:val="18"/>
        </w:rPr>
        <w:t xml:space="preserve">Source data: Lonsec as of </w:t>
      </w:r>
      <w:r w:rsidR="00B437CB" w:rsidRPr="00E0501A">
        <w:rPr>
          <w:sz w:val="18"/>
        </w:rPr>
        <w:t>3</w:t>
      </w:r>
      <w:r w:rsidR="00A3027F" w:rsidRPr="00E0501A">
        <w:rPr>
          <w:sz w:val="18"/>
        </w:rPr>
        <w:t>1</w:t>
      </w:r>
      <w:r w:rsidR="00A3027F" w:rsidRPr="00E0501A">
        <w:rPr>
          <w:sz w:val="18"/>
          <w:vertAlign w:val="superscript"/>
        </w:rPr>
        <w:t>st</w:t>
      </w:r>
      <w:r w:rsidR="00A3027F" w:rsidRPr="00E0501A">
        <w:rPr>
          <w:sz w:val="18"/>
        </w:rPr>
        <w:t xml:space="preserve"> December</w:t>
      </w:r>
      <w:r w:rsidRPr="00E0501A">
        <w:rPr>
          <w:sz w:val="18"/>
        </w:rPr>
        <w:t xml:space="preserve"> 202</w:t>
      </w:r>
      <w:r w:rsidR="004C5B3F" w:rsidRPr="00E0501A">
        <w:rPr>
          <w:sz w:val="18"/>
        </w:rPr>
        <w:t>4</w:t>
      </w:r>
    </w:p>
    <w:p w14:paraId="114DA578" w14:textId="3A339965" w:rsidR="00E51A06" w:rsidRDefault="001B12A9" w:rsidP="00CC263B">
      <w:r w:rsidRPr="00E0501A">
        <w:t>In AUD terms, t</w:t>
      </w:r>
      <w:r w:rsidR="009E7EF6" w:rsidRPr="00E0501A">
        <w:t xml:space="preserve">he </w:t>
      </w:r>
      <w:r w:rsidR="008E7965" w:rsidRPr="00E0501A">
        <w:t>global</w:t>
      </w:r>
      <w:r w:rsidR="00BF5596" w:rsidRPr="00E0501A">
        <w:t xml:space="preserve"> </w:t>
      </w:r>
      <w:r w:rsidR="00E101E2" w:rsidRPr="00E0501A">
        <w:t xml:space="preserve">share </w:t>
      </w:r>
      <w:r w:rsidR="009E7EF6" w:rsidRPr="00E0501A">
        <w:t xml:space="preserve">markets posted </w:t>
      </w:r>
      <w:r w:rsidR="005909DA" w:rsidRPr="00E0501A">
        <w:t>one</w:t>
      </w:r>
      <w:r w:rsidR="009E7EF6" w:rsidRPr="00E0501A">
        <w:t xml:space="preserve"> month return of</w:t>
      </w:r>
      <w:r w:rsidR="00BF5596" w:rsidRPr="00E0501A">
        <w:t xml:space="preserve"> </w:t>
      </w:r>
      <w:r w:rsidR="009E7EF6" w:rsidRPr="00E0501A">
        <w:t>(</w:t>
      </w:r>
      <w:r w:rsidR="00755C0C" w:rsidRPr="00E0501A">
        <w:t>+</w:t>
      </w:r>
      <w:r w:rsidR="00BB456F" w:rsidRPr="00E0501A">
        <w:t>2</w:t>
      </w:r>
      <w:r w:rsidR="00A3027F" w:rsidRPr="00E0501A">
        <w:t>.61</w:t>
      </w:r>
      <w:r w:rsidR="009E7EF6" w:rsidRPr="00E0501A">
        <w:t>%)</w:t>
      </w:r>
      <w:r w:rsidR="00E51A06" w:rsidRPr="00E0501A">
        <w:t>. T</w:t>
      </w:r>
      <w:r w:rsidR="009E7EF6" w:rsidRPr="00E0501A">
        <w:t>he US</w:t>
      </w:r>
      <w:r w:rsidR="00E51A06" w:rsidRPr="00E0501A">
        <w:t xml:space="preserve"> posted </w:t>
      </w:r>
      <w:r w:rsidR="00184AC2" w:rsidRPr="00E0501A">
        <w:t>returns</w:t>
      </w:r>
      <w:r w:rsidRPr="00E0501A">
        <w:t xml:space="preserve"> </w:t>
      </w:r>
      <w:r w:rsidR="00E51A06" w:rsidRPr="00E0501A">
        <w:t>of</w:t>
      </w:r>
      <w:r w:rsidR="009E7EF6" w:rsidRPr="00E0501A">
        <w:t xml:space="preserve"> (</w:t>
      </w:r>
      <w:r w:rsidR="00755C0C" w:rsidRPr="00E0501A">
        <w:t>+</w:t>
      </w:r>
      <w:r w:rsidR="00A3027F" w:rsidRPr="00E0501A">
        <w:t>2.71</w:t>
      </w:r>
      <w:r w:rsidR="009E7EF6" w:rsidRPr="00E0501A">
        <w:t>%)</w:t>
      </w:r>
      <w:r w:rsidR="00E51A06" w:rsidRPr="00E0501A">
        <w:t xml:space="preserve">, </w:t>
      </w:r>
      <w:r w:rsidR="009E7EF6" w:rsidRPr="00E0501A">
        <w:t>Asia ex Japan (</w:t>
      </w:r>
      <w:r w:rsidR="00A3027F" w:rsidRPr="00E0501A">
        <w:t>+4.05</w:t>
      </w:r>
      <w:r w:rsidR="009E7EF6" w:rsidRPr="00E0501A">
        <w:t>%)</w:t>
      </w:r>
      <w:r w:rsidR="00E51A06" w:rsidRPr="00E0501A">
        <w:t>,</w:t>
      </w:r>
      <w:r w:rsidR="009E7EF6" w:rsidRPr="00E0501A">
        <w:t xml:space="preserve"> Japan (</w:t>
      </w:r>
      <w:r w:rsidR="00BB456F" w:rsidRPr="00E0501A">
        <w:t>+</w:t>
      </w:r>
      <w:r w:rsidR="00A3027F" w:rsidRPr="00E0501A">
        <w:t>4.87</w:t>
      </w:r>
      <w:r w:rsidR="009E7EF6" w:rsidRPr="00E0501A">
        <w:t>%)</w:t>
      </w:r>
      <w:r w:rsidR="00E51A06" w:rsidRPr="00E0501A">
        <w:t>,</w:t>
      </w:r>
      <w:r w:rsidR="009E7EF6" w:rsidRPr="00E0501A">
        <w:t xml:space="preserve"> the UK (</w:t>
      </w:r>
      <w:r w:rsidR="00755C0C" w:rsidRPr="00E0501A">
        <w:t>+</w:t>
      </w:r>
      <w:r w:rsidR="00A3027F" w:rsidRPr="00E0501A">
        <w:t>2.32</w:t>
      </w:r>
      <w:r w:rsidR="009E7EF6" w:rsidRPr="00E0501A">
        <w:t>%)</w:t>
      </w:r>
      <w:r w:rsidR="00E51A06" w:rsidRPr="00E0501A">
        <w:t>,</w:t>
      </w:r>
      <w:r w:rsidR="009E7EF6" w:rsidRPr="00E0501A">
        <w:t xml:space="preserve"> Europe</w:t>
      </w:r>
      <w:r w:rsidR="00776C10" w:rsidRPr="00E0501A">
        <w:t xml:space="preserve"> </w:t>
      </w:r>
      <w:r w:rsidR="00E51A06" w:rsidRPr="00E0501A">
        <w:t>(</w:t>
      </w:r>
      <w:r w:rsidR="00A3027F" w:rsidRPr="00E0501A">
        <w:t>+2.67</w:t>
      </w:r>
      <w:r w:rsidR="005909DA" w:rsidRPr="00E0501A">
        <w:t>%</w:t>
      </w:r>
      <w:r w:rsidR="00E51A06" w:rsidRPr="00E0501A">
        <w:t xml:space="preserve">) </w:t>
      </w:r>
      <w:r w:rsidR="00776C10" w:rsidRPr="00E0501A">
        <w:t>and</w:t>
      </w:r>
      <w:r w:rsidR="009E7EF6" w:rsidRPr="00E0501A">
        <w:t xml:space="preserve"> </w:t>
      </w:r>
      <w:r w:rsidR="00776C10" w:rsidRPr="00E0501A">
        <w:t>the Emerging Markets</w:t>
      </w:r>
      <w:r w:rsidR="00E51A06" w:rsidRPr="00E0501A">
        <w:t xml:space="preserve"> (</w:t>
      </w:r>
      <w:r w:rsidR="00A3027F" w:rsidRPr="00E0501A">
        <w:t>+5.12</w:t>
      </w:r>
      <w:r w:rsidR="005909DA" w:rsidRPr="00E0501A">
        <w:t>%</w:t>
      </w:r>
      <w:r w:rsidR="00E51A06" w:rsidRPr="00E0501A">
        <w:t>)</w:t>
      </w:r>
      <w:r w:rsidR="009E7EF6" w:rsidRPr="00E0501A">
        <w:t xml:space="preserve">. </w:t>
      </w:r>
    </w:p>
    <w:p w14:paraId="5BD2B4D9" w14:textId="5A35E1D4" w:rsidR="00802B2D" w:rsidRPr="00E0501A" w:rsidRDefault="00802B2D" w:rsidP="00802B2D">
      <w:pPr>
        <w:rPr>
          <w:b/>
          <w:bCs/>
        </w:rPr>
      </w:pPr>
      <w:r w:rsidRPr="00E0501A">
        <w:rPr>
          <w:b/>
          <w:bCs/>
        </w:rPr>
        <w:t>Australian Shares</w:t>
      </w:r>
    </w:p>
    <w:p w14:paraId="43C32AE9" w14:textId="75E4A95B" w:rsidR="00752610" w:rsidRPr="00E0501A" w:rsidRDefault="00802B2D" w:rsidP="00080677">
      <w:r w:rsidRPr="00E0501A">
        <w:t xml:space="preserve">Australian </w:t>
      </w:r>
      <w:r w:rsidR="00D019FE" w:rsidRPr="00E0501A">
        <w:t xml:space="preserve">shares </w:t>
      </w:r>
      <w:r w:rsidR="00317447" w:rsidRPr="00E0501A">
        <w:t xml:space="preserve">posted </w:t>
      </w:r>
      <w:r w:rsidR="00A3027F" w:rsidRPr="00E0501A">
        <w:t>nega</w:t>
      </w:r>
      <w:r w:rsidR="00BB456F" w:rsidRPr="00E0501A">
        <w:t>tive</w:t>
      </w:r>
      <w:r w:rsidR="009D2BC7" w:rsidRPr="00E0501A">
        <w:t xml:space="preserve"> returns </w:t>
      </w:r>
      <w:r w:rsidR="00DA2BBC" w:rsidRPr="00E0501A">
        <w:t xml:space="preserve">reflecting the </w:t>
      </w:r>
      <w:r w:rsidR="00BB456F" w:rsidRPr="00E0501A">
        <w:t xml:space="preserve">market sentiment </w:t>
      </w:r>
      <w:r w:rsidR="00A3027F" w:rsidRPr="00E0501A">
        <w:t>and</w:t>
      </w:r>
      <w:r w:rsidR="00BB456F" w:rsidRPr="00E0501A">
        <w:t xml:space="preserve"> the i</w:t>
      </w:r>
      <w:r w:rsidR="00DA2BBC" w:rsidRPr="00E0501A">
        <w:t xml:space="preserve">mpact of the </w:t>
      </w:r>
      <w:r w:rsidR="00BB456F" w:rsidRPr="00E0501A">
        <w:t xml:space="preserve">soft </w:t>
      </w:r>
      <w:r w:rsidR="00755C0C" w:rsidRPr="00E0501A">
        <w:t xml:space="preserve">interest rate </w:t>
      </w:r>
      <w:r w:rsidR="00BB456F" w:rsidRPr="00E0501A">
        <w:t>environment</w:t>
      </w:r>
      <w:r w:rsidR="00755C0C" w:rsidRPr="00E0501A">
        <w:t>.</w:t>
      </w:r>
      <w:r w:rsidR="00DA2BBC" w:rsidRPr="00E0501A">
        <w:t xml:space="preserve"> </w:t>
      </w:r>
      <w:r w:rsidR="009D26B6" w:rsidRPr="00E0501A">
        <w:t>Sh</w:t>
      </w:r>
      <w:r w:rsidR="00965252" w:rsidRPr="00E0501A">
        <w:t xml:space="preserve">ares </w:t>
      </w:r>
      <w:r w:rsidR="00EF6467" w:rsidRPr="00E0501A">
        <w:t>finished</w:t>
      </w:r>
      <w:r w:rsidR="009D26B6" w:rsidRPr="00E0501A">
        <w:t xml:space="preserve"> </w:t>
      </w:r>
      <w:r w:rsidR="000E3566" w:rsidRPr="00E0501A">
        <w:t>(</w:t>
      </w:r>
      <w:r w:rsidR="00A3027F" w:rsidRPr="00E0501A">
        <w:t>-3.15</w:t>
      </w:r>
      <w:r w:rsidR="000E3566" w:rsidRPr="00E0501A">
        <w:t>%) for the month</w:t>
      </w:r>
      <w:r w:rsidR="0089710F" w:rsidRPr="00E0501A">
        <w:t xml:space="preserve"> and (</w:t>
      </w:r>
      <w:r w:rsidR="00A3027F" w:rsidRPr="00E0501A">
        <w:t>-0.80</w:t>
      </w:r>
      <w:r w:rsidR="0089710F" w:rsidRPr="00E0501A">
        <w:t>%) over the last three months</w:t>
      </w:r>
      <w:r w:rsidR="00992554" w:rsidRPr="00E0501A">
        <w:t>.</w:t>
      </w:r>
      <w:r w:rsidR="000E3566" w:rsidRPr="00E0501A">
        <w:t xml:space="preserve"> </w:t>
      </w:r>
    </w:p>
    <w:p w14:paraId="6D122B4F" w14:textId="0D4FA6EB" w:rsidR="00D96147" w:rsidRPr="00E0501A" w:rsidRDefault="00992554" w:rsidP="00080677">
      <w:r w:rsidRPr="00E0501A">
        <w:t>The focus for investors was</w:t>
      </w:r>
      <w:r w:rsidR="00F02508" w:rsidRPr="00E0501A">
        <w:t>:</w:t>
      </w:r>
    </w:p>
    <w:p w14:paraId="717593C6" w14:textId="77777777" w:rsidR="009D2BC7" w:rsidRPr="00E0501A" w:rsidRDefault="009D2BC7" w:rsidP="003C40F3">
      <w:pPr>
        <w:pStyle w:val="ListParagraph"/>
        <w:numPr>
          <w:ilvl w:val="0"/>
          <w:numId w:val="7"/>
        </w:numPr>
      </w:pPr>
      <w:r w:rsidRPr="00E0501A">
        <w:rPr>
          <w:b/>
          <w:bCs/>
        </w:rPr>
        <w:t>Cost of living expenses</w:t>
      </w:r>
      <w:r w:rsidRPr="00E0501A">
        <w:t xml:space="preserve"> and the impact on consumer spending.</w:t>
      </w:r>
    </w:p>
    <w:p w14:paraId="46B2FCA7" w14:textId="3DD4E7E2" w:rsidR="009D2BC7" w:rsidRPr="00E0501A" w:rsidRDefault="00AE1347" w:rsidP="003C40F3">
      <w:pPr>
        <w:pStyle w:val="ListParagraph"/>
        <w:numPr>
          <w:ilvl w:val="0"/>
          <w:numId w:val="7"/>
        </w:numPr>
      </w:pPr>
      <w:r w:rsidRPr="00E0501A">
        <w:rPr>
          <w:b/>
          <w:bCs/>
        </w:rPr>
        <w:t>Commodity Prices</w:t>
      </w:r>
      <w:r w:rsidRPr="00E0501A">
        <w:t xml:space="preserve"> and their impact on c</w:t>
      </w:r>
      <w:r w:rsidR="009D2BC7" w:rsidRPr="00E0501A">
        <w:t xml:space="preserve">ompany profits </w:t>
      </w:r>
      <w:r w:rsidR="001F41D2" w:rsidRPr="00E0501A">
        <w:t>and forward earnings guidance</w:t>
      </w:r>
      <w:r w:rsidR="009D2BC7" w:rsidRPr="00E0501A">
        <w:t>.</w:t>
      </w:r>
    </w:p>
    <w:p w14:paraId="5BBF831F" w14:textId="0951F238" w:rsidR="009D26B6" w:rsidRPr="00E0501A" w:rsidRDefault="009D26B6" w:rsidP="003C40F3">
      <w:pPr>
        <w:pStyle w:val="ListParagraph"/>
        <w:numPr>
          <w:ilvl w:val="0"/>
          <w:numId w:val="7"/>
        </w:numPr>
      </w:pPr>
      <w:r w:rsidRPr="00E0501A">
        <w:rPr>
          <w:b/>
          <w:bCs/>
        </w:rPr>
        <w:t>Consumer confidence</w:t>
      </w:r>
      <w:r w:rsidRPr="00E0501A">
        <w:t xml:space="preserve"> post the </w:t>
      </w:r>
      <w:r w:rsidR="004F220F" w:rsidRPr="00E0501A">
        <w:t xml:space="preserve">offshore </w:t>
      </w:r>
      <w:r w:rsidRPr="00E0501A">
        <w:t>interest rate</w:t>
      </w:r>
      <w:r w:rsidR="004F220F" w:rsidRPr="00E0501A">
        <w:t xml:space="preserve"> changes</w:t>
      </w:r>
      <w:r w:rsidR="00AE1347" w:rsidRPr="00E0501A">
        <w:t xml:space="preserve"> and inflation impacts</w:t>
      </w:r>
      <w:r w:rsidRPr="00E0501A">
        <w:t>.</w:t>
      </w:r>
    </w:p>
    <w:p w14:paraId="17FE682E" w14:textId="64819F0C" w:rsidR="00EE74FA" w:rsidRPr="00E0501A" w:rsidRDefault="00EE74FA" w:rsidP="003C40F3">
      <w:pPr>
        <w:pStyle w:val="ListParagraph"/>
        <w:numPr>
          <w:ilvl w:val="0"/>
          <w:numId w:val="7"/>
        </w:numPr>
      </w:pPr>
      <w:r w:rsidRPr="00E0501A">
        <w:rPr>
          <w:b/>
          <w:bCs/>
        </w:rPr>
        <w:t>Mortgage stress</w:t>
      </w:r>
      <w:r w:rsidRPr="00E0501A">
        <w:t xml:space="preserve"> and the </w:t>
      </w:r>
      <w:r w:rsidR="00F43A7D" w:rsidRPr="00E0501A">
        <w:t>impact</w:t>
      </w:r>
      <w:r w:rsidRPr="00E0501A">
        <w:t xml:space="preserve"> on </w:t>
      </w:r>
      <w:r w:rsidR="00965252" w:rsidRPr="00E0501A">
        <w:t>domestic house prices</w:t>
      </w:r>
      <w:r w:rsidR="00D24497" w:rsidRPr="00E0501A">
        <w:t xml:space="preserve"> and banks</w:t>
      </w:r>
      <w:r w:rsidRPr="00E0501A">
        <w:t>.</w:t>
      </w:r>
    </w:p>
    <w:p w14:paraId="2733ED20" w14:textId="3FE9A2B8" w:rsidR="002D1C33" w:rsidRPr="00E0501A" w:rsidRDefault="00EE74FA" w:rsidP="003C40F3">
      <w:pPr>
        <w:pStyle w:val="ListParagraph"/>
        <w:numPr>
          <w:ilvl w:val="0"/>
          <w:numId w:val="7"/>
        </w:numPr>
      </w:pPr>
      <w:r w:rsidRPr="00E0501A">
        <w:rPr>
          <w:b/>
          <w:bCs/>
        </w:rPr>
        <w:t>I</w:t>
      </w:r>
      <w:r w:rsidR="00D96147" w:rsidRPr="00E0501A">
        <w:rPr>
          <w:b/>
          <w:bCs/>
        </w:rPr>
        <w:t xml:space="preserve">nflation </w:t>
      </w:r>
      <w:r w:rsidR="00D96147" w:rsidRPr="00E0501A">
        <w:t xml:space="preserve">and the </w:t>
      </w:r>
      <w:r w:rsidR="006B60E2" w:rsidRPr="00E0501A">
        <w:t xml:space="preserve">response </w:t>
      </w:r>
      <w:r w:rsidR="00395F1F" w:rsidRPr="00E0501A">
        <w:t xml:space="preserve">by the RBA to </w:t>
      </w:r>
      <w:r w:rsidR="006B60E2" w:rsidRPr="00E0501A">
        <w:t xml:space="preserve">hold </w:t>
      </w:r>
      <w:r w:rsidR="001C5422" w:rsidRPr="00E0501A">
        <w:t xml:space="preserve">the target cash rate </w:t>
      </w:r>
      <w:r w:rsidR="006B60E2" w:rsidRPr="00E0501A">
        <w:t>at 4.</w:t>
      </w:r>
      <w:r w:rsidR="009D2BC7" w:rsidRPr="00E0501A">
        <w:t>35</w:t>
      </w:r>
      <w:r w:rsidR="006B60E2" w:rsidRPr="00E0501A">
        <w:t>%.</w:t>
      </w:r>
    </w:p>
    <w:p w14:paraId="41F529C9" w14:textId="7784CCA1" w:rsidR="00AF697A" w:rsidRDefault="0089710F" w:rsidP="00AF697A">
      <w:r w:rsidRPr="00E0501A">
        <w:t>C</w:t>
      </w:r>
      <w:r w:rsidR="00E05A34" w:rsidRPr="00E0501A">
        <w:t>om</w:t>
      </w:r>
      <w:r w:rsidR="009E7EF6" w:rsidRPr="00E0501A">
        <w:t xml:space="preserve">modity markets </w:t>
      </w:r>
      <w:r w:rsidR="00457450" w:rsidRPr="00E0501A">
        <w:t>ended</w:t>
      </w:r>
      <w:r w:rsidR="00E32E30" w:rsidRPr="00E0501A">
        <w:t xml:space="preserve"> </w:t>
      </w:r>
      <w:r w:rsidR="009F0A63" w:rsidRPr="00E0501A">
        <w:t>mixed</w:t>
      </w:r>
      <w:r w:rsidR="00FC5F13" w:rsidRPr="00E0501A">
        <w:t xml:space="preserve"> </w:t>
      </w:r>
      <w:r w:rsidR="0056303E" w:rsidRPr="00E0501A">
        <w:t xml:space="preserve">with </w:t>
      </w:r>
      <w:r w:rsidR="009E7EF6" w:rsidRPr="00E0501A">
        <w:t>Iron Ore clos</w:t>
      </w:r>
      <w:r w:rsidR="00040E36" w:rsidRPr="00E0501A">
        <w:t>ing</w:t>
      </w:r>
      <w:r w:rsidR="009E7EF6" w:rsidRPr="00E0501A">
        <w:t xml:space="preserve"> at US$</w:t>
      </w:r>
      <w:r w:rsidR="009F0A63" w:rsidRPr="00E0501A">
        <w:t>10</w:t>
      </w:r>
      <w:r w:rsidR="00A3027F" w:rsidRPr="00E0501A">
        <w:t>3.61</w:t>
      </w:r>
      <w:r w:rsidR="009E7EF6" w:rsidRPr="00E0501A">
        <w:t xml:space="preserve"> </w:t>
      </w:r>
      <w:r w:rsidR="006D3802" w:rsidRPr="00E0501A">
        <w:t xml:space="preserve">per tonne </w:t>
      </w:r>
      <w:r w:rsidR="00910A84" w:rsidRPr="00E0501A">
        <w:t xml:space="preserve">at the end of </w:t>
      </w:r>
      <w:r w:rsidR="00A3027F" w:rsidRPr="00E0501A">
        <w:t>Dec</w:t>
      </w:r>
      <w:r w:rsidR="00E95AF9" w:rsidRPr="00E0501A">
        <w:t>ember</w:t>
      </w:r>
      <w:r w:rsidR="00AA627D" w:rsidRPr="00E0501A">
        <w:t xml:space="preserve"> 202</w:t>
      </w:r>
      <w:r w:rsidR="006C3814" w:rsidRPr="00E0501A">
        <w:t>4</w:t>
      </w:r>
      <w:r w:rsidR="00910A84" w:rsidRPr="00E0501A">
        <w:t xml:space="preserve"> </w:t>
      </w:r>
      <w:r w:rsidR="00A85A05" w:rsidRPr="00E0501A">
        <w:t xml:space="preserve">with </w:t>
      </w:r>
      <w:r w:rsidR="00910A84" w:rsidRPr="00E0501A">
        <w:t xml:space="preserve">a </w:t>
      </w:r>
      <w:r w:rsidR="00A85A05" w:rsidRPr="00E0501A">
        <w:t xml:space="preserve">monthly </w:t>
      </w:r>
      <w:r w:rsidR="00A3027F" w:rsidRPr="00E0501A">
        <w:t>gain of</w:t>
      </w:r>
      <w:r w:rsidR="00A85A05" w:rsidRPr="00E0501A">
        <w:t xml:space="preserve"> (</w:t>
      </w:r>
      <w:r w:rsidR="00A3027F" w:rsidRPr="00E0501A">
        <w:t>1.14</w:t>
      </w:r>
      <w:r w:rsidR="00A85A05" w:rsidRPr="00E0501A">
        <w:t xml:space="preserve">%) </w:t>
      </w:r>
      <w:r w:rsidR="00FC5F13" w:rsidRPr="00E0501A">
        <w:t xml:space="preserve">and </w:t>
      </w:r>
      <w:r w:rsidR="00E95AF9" w:rsidRPr="00E0501A">
        <w:t>gains</w:t>
      </w:r>
      <w:r w:rsidR="00C44EA9" w:rsidRPr="00E0501A">
        <w:t xml:space="preserve"> of </w:t>
      </w:r>
      <w:r w:rsidR="009E7EF6" w:rsidRPr="00E0501A">
        <w:t>(</w:t>
      </w:r>
      <w:r w:rsidR="00E95AF9" w:rsidRPr="00E0501A">
        <w:t>+</w:t>
      </w:r>
      <w:r w:rsidR="00A3027F" w:rsidRPr="00E0501A">
        <w:t>10.42</w:t>
      </w:r>
      <w:r w:rsidR="00E95AF9" w:rsidRPr="00E0501A">
        <w:t xml:space="preserve">%) </w:t>
      </w:r>
      <w:r w:rsidR="009E7EF6" w:rsidRPr="00E0501A">
        <w:t xml:space="preserve">for </w:t>
      </w:r>
      <w:r w:rsidR="0032180A" w:rsidRPr="00E0501A">
        <w:t>the previous three months</w:t>
      </w:r>
      <w:r w:rsidR="009E7EF6" w:rsidRPr="00E0501A">
        <w:t xml:space="preserve">. </w:t>
      </w:r>
      <w:r w:rsidR="008F7018" w:rsidRPr="00E0501A">
        <w:t>Oil (WTI) closed</w:t>
      </w:r>
      <w:r w:rsidR="00E91EC4" w:rsidRPr="00E0501A">
        <w:t xml:space="preserve"> </w:t>
      </w:r>
      <w:r w:rsidR="00A3027F" w:rsidRPr="00E0501A">
        <w:t>higher</w:t>
      </w:r>
      <w:r w:rsidR="008F7018" w:rsidRPr="00E0501A">
        <w:t xml:space="preserve"> at US$</w:t>
      </w:r>
      <w:r w:rsidR="00A3027F" w:rsidRPr="00E0501A">
        <w:t>71.72</w:t>
      </w:r>
      <w:r w:rsidR="008F7018" w:rsidRPr="00E0501A">
        <w:t xml:space="preserve"> a barrel at the end of </w:t>
      </w:r>
      <w:r w:rsidR="00A3027F" w:rsidRPr="00E0501A">
        <w:t>Dec</w:t>
      </w:r>
      <w:r w:rsidR="00E95AF9" w:rsidRPr="00E0501A">
        <w:t>em</w:t>
      </w:r>
      <w:r w:rsidR="009F0A63" w:rsidRPr="00E0501A">
        <w:t>b</w:t>
      </w:r>
      <w:r w:rsidR="00CC3052" w:rsidRPr="00E0501A">
        <w:t>er</w:t>
      </w:r>
      <w:r w:rsidR="00AA627D" w:rsidRPr="00E0501A">
        <w:t xml:space="preserve"> 202</w:t>
      </w:r>
      <w:r w:rsidR="006C68B8" w:rsidRPr="00E0501A">
        <w:t>4</w:t>
      </w:r>
      <w:r w:rsidR="008F7018" w:rsidRPr="00E0501A">
        <w:t xml:space="preserve"> resulting in </w:t>
      </w:r>
      <w:r w:rsidR="00A3027F" w:rsidRPr="00E0501A">
        <w:t>gains</w:t>
      </w:r>
      <w:r w:rsidR="006C68B8" w:rsidRPr="00E0501A">
        <w:t xml:space="preserve"> of</w:t>
      </w:r>
      <w:r w:rsidR="008F7018" w:rsidRPr="00E0501A">
        <w:t xml:space="preserve"> (</w:t>
      </w:r>
      <w:r w:rsidR="00A3027F" w:rsidRPr="00E0501A">
        <w:t>5.47</w:t>
      </w:r>
      <w:r w:rsidR="00E77097" w:rsidRPr="00E0501A">
        <w:t>%</w:t>
      </w:r>
      <w:r w:rsidR="008F7018" w:rsidRPr="00E0501A">
        <w:t xml:space="preserve">) for the month </w:t>
      </w:r>
      <w:r w:rsidR="00107972" w:rsidRPr="00E0501A">
        <w:t xml:space="preserve">and </w:t>
      </w:r>
      <w:r w:rsidR="00EA6C58" w:rsidRPr="00E0501A">
        <w:t>down</w:t>
      </w:r>
      <w:r w:rsidR="00F93701" w:rsidRPr="00E0501A">
        <w:t xml:space="preserve"> </w:t>
      </w:r>
      <w:r w:rsidR="008F7018" w:rsidRPr="00E0501A">
        <w:t>(</w:t>
      </w:r>
      <w:r w:rsidR="00A3027F" w:rsidRPr="00E0501A">
        <w:t>5.21</w:t>
      </w:r>
      <w:r w:rsidR="00DB1554" w:rsidRPr="00E0501A">
        <w:t>%</w:t>
      </w:r>
      <w:r w:rsidR="008F7018" w:rsidRPr="00E0501A">
        <w:t xml:space="preserve">) over the </w:t>
      </w:r>
      <w:r w:rsidR="00E65B82" w:rsidRPr="00E0501A">
        <w:t xml:space="preserve">last </w:t>
      </w:r>
      <w:r w:rsidR="008F7018" w:rsidRPr="00E0501A">
        <w:t xml:space="preserve">three months. China remains our main export market followed by Japan. </w:t>
      </w:r>
    </w:p>
    <w:p w14:paraId="7BC6B594" w14:textId="127F8A9B" w:rsidR="009E7EF6" w:rsidRPr="00E0501A" w:rsidRDefault="009E7EF6" w:rsidP="00AF697A">
      <w:pPr>
        <w:rPr>
          <w:b/>
          <w:bCs/>
          <w:iCs/>
        </w:rPr>
      </w:pPr>
      <w:r w:rsidRPr="00E0501A">
        <w:rPr>
          <w:b/>
          <w:bCs/>
        </w:rPr>
        <w:t>Australian Industry Returns</w:t>
      </w:r>
      <w:r w:rsidRPr="00E0501A">
        <w:rPr>
          <w:b/>
          <w:bCs/>
        </w:rPr>
        <w:tab/>
      </w:r>
    </w:p>
    <w:p w14:paraId="1130FA96" w14:textId="5117FA3D" w:rsidR="009E7EF6" w:rsidRPr="00E0501A" w:rsidRDefault="009E7EF6" w:rsidP="00E56C84">
      <w:pPr>
        <w:spacing w:before="120" w:after="0"/>
      </w:pPr>
      <w:r w:rsidRPr="00E0501A">
        <w:lastRenderedPageBreak/>
        <w:t xml:space="preserve">Industry sectors </w:t>
      </w:r>
      <w:r w:rsidR="00CF0345" w:rsidRPr="00E0501A">
        <w:t>posted</w:t>
      </w:r>
      <w:r w:rsidR="00436EB4" w:rsidRPr="00E0501A">
        <w:t xml:space="preserve"> </w:t>
      </w:r>
      <w:r w:rsidR="00E32E30" w:rsidRPr="00E0501A">
        <w:t>mixed</w:t>
      </w:r>
      <w:r w:rsidR="003E66A5" w:rsidRPr="00E0501A">
        <w:t xml:space="preserve"> </w:t>
      </w:r>
      <w:r w:rsidR="00CF0345" w:rsidRPr="00E0501A">
        <w:t xml:space="preserve">results </w:t>
      </w:r>
      <w:r w:rsidRPr="00E0501A">
        <w:t xml:space="preserve">for </w:t>
      </w:r>
      <w:r w:rsidR="00AF697A" w:rsidRPr="00E0501A">
        <w:t>November</w:t>
      </w:r>
      <w:r w:rsidR="00AA627D" w:rsidRPr="00E0501A">
        <w:t xml:space="preserve"> 202</w:t>
      </w:r>
      <w:r w:rsidR="00053887" w:rsidRPr="00E0501A">
        <w:t>4</w:t>
      </w:r>
      <w:r w:rsidR="008855EF" w:rsidRPr="00E0501A">
        <w:t>.</w:t>
      </w:r>
      <w:r w:rsidR="00C460B3" w:rsidRPr="00E0501A">
        <w:t xml:space="preserve"> </w:t>
      </w:r>
      <w:r w:rsidRPr="00E0501A">
        <w:t xml:space="preserve">The </w:t>
      </w:r>
      <w:r w:rsidR="000B4548" w:rsidRPr="00E0501A">
        <w:t xml:space="preserve">industry sector </w:t>
      </w:r>
      <w:r w:rsidR="00ED23CC" w:rsidRPr="00E0501A">
        <w:t>performance results</w:t>
      </w:r>
      <w:r w:rsidRPr="00E0501A">
        <w:t xml:space="preserve"> </w:t>
      </w:r>
      <w:r w:rsidR="00A85A05" w:rsidRPr="00E0501A">
        <w:t xml:space="preserve">for the last </w:t>
      </w:r>
      <w:r w:rsidR="00C41573" w:rsidRPr="00E0501A">
        <w:t xml:space="preserve">month </w:t>
      </w:r>
      <w:r w:rsidRPr="00E0501A">
        <w:t>were</w:t>
      </w:r>
      <w:r w:rsidR="007B7DEB" w:rsidRPr="00E0501A">
        <w:t>:</w:t>
      </w:r>
    </w:p>
    <w:p w14:paraId="1744F24C" w14:textId="51D5A0B7" w:rsidR="00AF697A" w:rsidRPr="00E0501A" w:rsidRDefault="00DD1809" w:rsidP="00E0501A">
      <w:pPr>
        <w:spacing w:before="0" w:after="0"/>
        <w:jc w:val="center"/>
      </w:pPr>
      <w:r w:rsidRPr="00E0501A">
        <w:rPr>
          <w:noProof/>
        </w:rPr>
        <w:drawing>
          <wp:inline distT="0" distB="0" distL="0" distR="0" wp14:anchorId="61E34E51" wp14:editId="1CE034C7">
            <wp:extent cx="3888740" cy="3497224"/>
            <wp:effectExtent l="0" t="0" r="0" b="8255"/>
            <wp:docPr id="10941127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140" cy="3498483"/>
                    </a:xfrm>
                    <a:prstGeom prst="rect">
                      <a:avLst/>
                    </a:prstGeom>
                    <a:noFill/>
                    <a:ln>
                      <a:noFill/>
                    </a:ln>
                  </pic:spPr>
                </pic:pic>
              </a:graphicData>
            </a:graphic>
          </wp:inline>
        </w:drawing>
      </w:r>
    </w:p>
    <w:p w14:paraId="70580A2B" w14:textId="050E5719" w:rsidR="00193344" w:rsidRPr="00E0501A" w:rsidRDefault="00193344" w:rsidP="00E0501A">
      <w:pPr>
        <w:spacing w:before="0" w:after="0"/>
        <w:jc w:val="center"/>
        <w:rPr>
          <w:sz w:val="18"/>
        </w:rPr>
      </w:pPr>
      <w:r w:rsidRPr="00E0501A">
        <w:rPr>
          <w:sz w:val="18"/>
        </w:rPr>
        <w:t>Source data: Lonsec as of 3</w:t>
      </w:r>
      <w:r w:rsidR="00DD1809" w:rsidRPr="00E0501A">
        <w:rPr>
          <w:sz w:val="18"/>
        </w:rPr>
        <w:t>1</w:t>
      </w:r>
      <w:r w:rsidR="00DD1809" w:rsidRPr="00E0501A">
        <w:rPr>
          <w:sz w:val="18"/>
          <w:vertAlign w:val="superscript"/>
        </w:rPr>
        <w:t>st</w:t>
      </w:r>
      <w:r w:rsidR="00DD1809" w:rsidRPr="00E0501A">
        <w:rPr>
          <w:sz w:val="18"/>
        </w:rPr>
        <w:t xml:space="preserve"> December</w:t>
      </w:r>
      <w:r w:rsidRPr="00E0501A">
        <w:rPr>
          <w:sz w:val="18"/>
        </w:rPr>
        <w:t xml:space="preserve"> 2024</w:t>
      </w:r>
    </w:p>
    <w:p w14:paraId="58FD09A7" w14:textId="5537EB89" w:rsidR="009E7EF6" w:rsidRPr="00E0501A" w:rsidRDefault="004C4389" w:rsidP="009E7EF6">
      <w:pPr>
        <w:spacing w:before="120" w:after="120"/>
      </w:pPr>
      <w:r w:rsidRPr="00E0501A">
        <w:rPr>
          <w:noProof/>
        </w:rPr>
        <w:t>Communication Services was</w:t>
      </w:r>
      <w:r w:rsidR="00AF697A" w:rsidRPr="00E0501A">
        <w:rPr>
          <w:noProof/>
        </w:rPr>
        <w:t xml:space="preserve"> the </w:t>
      </w:r>
      <w:r w:rsidR="001A3D53" w:rsidRPr="00E0501A">
        <w:t>best</w:t>
      </w:r>
      <w:r w:rsidR="00A94C92" w:rsidRPr="00E0501A">
        <w:t xml:space="preserve"> </w:t>
      </w:r>
      <w:r w:rsidR="00BF751B" w:rsidRPr="00E0501A">
        <w:t xml:space="preserve">performing sector </w:t>
      </w:r>
      <w:r w:rsidR="00A94C92" w:rsidRPr="00E0501A">
        <w:t>posting</w:t>
      </w:r>
      <w:r w:rsidR="002720B5" w:rsidRPr="00E0501A">
        <w:t xml:space="preserve"> </w:t>
      </w:r>
      <w:r w:rsidR="00D46064" w:rsidRPr="00E0501A">
        <w:t>gains</w:t>
      </w:r>
      <w:r w:rsidR="00736488" w:rsidRPr="00E0501A">
        <w:t xml:space="preserve"> of </w:t>
      </w:r>
      <w:r w:rsidR="009E7EF6" w:rsidRPr="00E0501A">
        <w:t>(</w:t>
      </w:r>
      <w:r w:rsidR="00D46064" w:rsidRPr="00E0501A">
        <w:t>+</w:t>
      </w:r>
      <w:r w:rsidRPr="00E0501A">
        <w:t>1.39</w:t>
      </w:r>
      <w:r w:rsidR="009E7EF6" w:rsidRPr="00E0501A">
        <w:t>%)</w:t>
      </w:r>
      <w:r w:rsidR="00757323" w:rsidRPr="00E0501A">
        <w:t>.</w:t>
      </w:r>
    </w:p>
    <w:p w14:paraId="1BD9D657" w14:textId="0CEEC889" w:rsidR="00BF751B" w:rsidRPr="00E0501A" w:rsidRDefault="004C4389" w:rsidP="00BF751B">
      <w:pPr>
        <w:spacing w:before="120" w:after="120"/>
      </w:pPr>
      <w:r w:rsidRPr="00E0501A">
        <w:t xml:space="preserve">Real estate investment trusts (REITS) </w:t>
      </w:r>
      <w:r w:rsidR="00F4575B" w:rsidRPr="00E0501A">
        <w:t>were</w:t>
      </w:r>
      <w:r w:rsidR="00C041DA" w:rsidRPr="00E0501A">
        <w:t xml:space="preserve"> the </w:t>
      </w:r>
      <w:r w:rsidR="006D5106" w:rsidRPr="00E0501A">
        <w:t xml:space="preserve">worst performing sector </w:t>
      </w:r>
      <w:r w:rsidR="00B700A9" w:rsidRPr="00E0501A">
        <w:t>finishing</w:t>
      </w:r>
      <w:r w:rsidR="0058757B" w:rsidRPr="00E0501A">
        <w:t xml:space="preserve"> </w:t>
      </w:r>
      <w:r w:rsidR="00BF751B" w:rsidRPr="00E0501A">
        <w:t>(</w:t>
      </w:r>
      <w:r w:rsidR="00053887" w:rsidRPr="00E0501A">
        <w:t>-</w:t>
      </w:r>
      <w:r w:rsidRPr="00E0501A">
        <w:t>5.95</w:t>
      </w:r>
      <w:r w:rsidR="00BF751B" w:rsidRPr="00E0501A">
        <w:t>%</w:t>
      </w:r>
      <w:r w:rsidR="004A252E" w:rsidRPr="00E0501A">
        <w:t>)</w:t>
      </w:r>
      <w:r w:rsidR="00EE6DB0" w:rsidRPr="00E0501A">
        <w:t xml:space="preserve"> for the month</w:t>
      </w:r>
      <w:r w:rsidR="00EF3062" w:rsidRPr="00E0501A">
        <w:t xml:space="preserve">. </w:t>
      </w:r>
    </w:p>
    <w:p w14:paraId="6051FE95" w14:textId="3B8AB2FA" w:rsidR="006C68B8" w:rsidRPr="00E0501A" w:rsidRDefault="00DD1809" w:rsidP="00E0501A">
      <w:pPr>
        <w:spacing w:before="0" w:after="0"/>
        <w:jc w:val="center"/>
      </w:pPr>
      <w:r w:rsidRPr="00E0501A">
        <w:rPr>
          <w:noProof/>
        </w:rPr>
        <w:drawing>
          <wp:inline distT="0" distB="0" distL="0" distR="0" wp14:anchorId="7C3EC54B" wp14:editId="4FDE89C3">
            <wp:extent cx="3868420" cy="2394681"/>
            <wp:effectExtent l="0" t="0" r="0" b="5715"/>
            <wp:docPr id="1851739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6870" cy="2406102"/>
                    </a:xfrm>
                    <a:prstGeom prst="rect">
                      <a:avLst/>
                    </a:prstGeom>
                    <a:noFill/>
                    <a:ln>
                      <a:noFill/>
                    </a:ln>
                  </pic:spPr>
                </pic:pic>
              </a:graphicData>
            </a:graphic>
          </wp:inline>
        </w:drawing>
      </w:r>
    </w:p>
    <w:p w14:paraId="7EE381D5" w14:textId="687F5ADF" w:rsidR="009E7EF6" w:rsidRPr="00E0501A" w:rsidRDefault="006C68B8" w:rsidP="00E0501A">
      <w:pPr>
        <w:spacing w:before="0" w:after="0"/>
        <w:jc w:val="center"/>
        <w:rPr>
          <w:sz w:val="18"/>
        </w:rPr>
      </w:pPr>
      <w:r w:rsidRPr="00E0501A">
        <w:rPr>
          <w:sz w:val="18"/>
        </w:rPr>
        <w:t>S</w:t>
      </w:r>
      <w:r w:rsidR="009E7EF6" w:rsidRPr="00E0501A">
        <w:rPr>
          <w:sz w:val="18"/>
        </w:rPr>
        <w:t xml:space="preserve">ource data: Lonsec as </w:t>
      </w:r>
      <w:r w:rsidR="0023164B" w:rsidRPr="00E0501A">
        <w:rPr>
          <w:sz w:val="18"/>
        </w:rPr>
        <w:t>of</w:t>
      </w:r>
      <w:r w:rsidR="009E7EF6" w:rsidRPr="00E0501A">
        <w:rPr>
          <w:sz w:val="18"/>
        </w:rPr>
        <w:t xml:space="preserve"> </w:t>
      </w:r>
      <w:r w:rsidR="00E67B5F" w:rsidRPr="00E0501A">
        <w:rPr>
          <w:sz w:val="18"/>
        </w:rPr>
        <w:t>3</w:t>
      </w:r>
      <w:r w:rsidR="00DD1809" w:rsidRPr="00E0501A">
        <w:rPr>
          <w:sz w:val="18"/>
        </w:rPr>
        <w:t>1</w:t>
      </w:r>
      <w:r w:rsidR="00DD1809" w:rsidRPr="00E0501A">
        <w:rPr>
          <w:sz w:val="18"/>
          <w:vertAlign w:val="superscript"/>
        </w:rPr>
        <w:t>st</w:t>
      </w:r>
      <w:r w:rsidR="00DD1809" w:rsidRPr="00E0501A">
        <w:rPr>
          <w:sz w:val="18"/>
        </w:rPr>
        <w:t xml:space="preserve"> December</w:t>
      </w:r>
      <w:r w:rsidR="007D590D" w:rsidRPr="00E0501A">
        <w:rPr>
          <w:sz w:val="18"/>
        </w:rPr>
        <w:t xml:space="preserve"> 2</w:t>
      </w:r>
      <w:r w:rsidR="00AA627D" w:rsidRPr="00E0501A">
        <w:rPr>
          <w:sz w:val="18"/>
        </w:rPr>
        <w:t>02</w:t>
      </w:r>
      <w:r w:rsidRPr="00E0501A">
        <w:rPr>
          <w:sz w:val="18"/>
        </w:rPr>
        <w:t>4</w:t>
      </w:r>
    </w:p>
    <w:p w14:paraId="78F8BC4A" w14:textId="77777777" w:rsidR="009E7EF6" w:rsidRPr="00E0501A" w:rsidRDefault="009E7EF6" w:rsidP="009E7EF6">
      <w:pPr>
        <w:pStyle w:val="Heading2"/>
        <w:rPr>
          <w:rFonts w:asciiTheme="minorHAnsi" w:eastAsiaTheme="minorEastAsia" w:hAnsiTheme="minorHAnsi" w:cstheme="minorBidi"/>
          <w:iCs w:val="0"/>
          <w:color w:val="414042" w:themeColor="text1"/>
          <w:sz w:val="22"/>
          <w:lang w:val="en-AU" w:bidi="ar-SA"/>
        </w:rPr>
      </w:pPr>
      <w:r w:rsidRPr="00E0501A">
        <w:rPr>
          <w:rFonts w:asciiTheme="minorHAnsi" w:eastAsiaTheme="minorEastAsia" w:hAnsiTheme="minorHAnsi" w:cstheme="minorBidi"/>
          <w:iCs w:val="0"/>
          <w:color w:val="414042" w:themeColor="text1"/>
          <w:sz w:val="22"/>
          <w:lang w:val="en-AU" w:bidi="ar-SA"/>
        </w:rPr>
        <w:lastRenderedPageBreak/>
        <w:t>Debt Market Returns</w:t>
      </w:r>
    </w:p>
    <w:p w14:paraId="26CC03CE" w14:textId="2EB1153E" w:rsidR="00585652" w:rsidRPr="00E0501A" w:rsidRDefault="009E7EF6" w:rsidP="009E7EF6">
      <w:pPr>
        <w:spacing w:before="120" w:after="120"/>
      </w:pPr>
      <w:r w:rsidRPr="00E0501A">
        <w:t xml:space="preserve">Bonds and Fixed Interest markets </w:t>
      </w:r>
      <w:r w:rsidR="00F43A7D" w:rsidRPr="00E0501A">
        <w:t>finished</w:t>
      </w:r>
      <w:r w:rsidR="00C175CC" w:rsidRPr="00E0501A">
        <w:t xml:space="preserve"> </w:t>
      </w:r>
      <w:r w:rsidR="001846E3" w:rsidRPr="00E0501A">
        <w:t>in</w:t>
      </w:r>
      <w:r w:rsidR="00B743B6" w:rsidRPr="00E0501A">
        <w:t xml:space="preserve"> </w:t>
      </w:r>
      <w:r w:rsidR="00072B77" w:rsidRPr="00E0501A">
        <w:rPr>
          <w:b/>
          <w:bCs/>
        </w:rPr>
        <w:t>nega</w:t>
      </w:r>
      <w:r w:rsidR="00B743B6" w:rsidRPr="00E0501A">
        <w:rPr>
          <w:b/>
          <w:bCs/>
        </w:rPr>
        <w:t>t</w:t>
      </w:r>
      <w:r w:rsidR="002E3192" w:rsidRPr="00E0501A">
        <w:rPr>
          <w:b/>
          <w:bCs/>
        </w:rPr>
        <w:t>ive</w:t>
      </w:r>
      <w:r w:rsidR="001846E3" w:rsidRPr="00E0501A">
        <w:rPr>
          <w:b/>
          <w:bCs/>
        </w:rPr>
        <w:t xml:space="preserve"> territory</w:t>
      </w:r>
      <w:r w:rsidR="001846E3" w:rsidRPr="00E0501A">
        <w:t xml:space="preserve"> </w:t>
      </w:r>
      <w:r w:rsidR="00A52972" w:rsidRPr="00E0501A">
        <w:t xml:space="preserve">as </w:t>
      </w:r>
      <w:r w:rsidR="008E3CF5" w:rsidRPr="00E0501A">
        <w:t xml:space="preserve">global bond </w:t>
      </w:r>
      <w:r w:rsidR="00C175CC" w:rsidRPr="00E0501A">
        <w:t>pr</w:t>
      </w:r>
      <w:r w:rsidR="002710BC" w:rsidRPr="00E0501A">
        <w:t>ice</w:t>
      </w:r>
      <w:r w:rsidR="00A52972" w:rsidRPr="00E0501A">
        <w:t xml:space="preserve">s </w:t>
      </w:r>
      <w:r w:rsidR="00680BB2" w:rsidRPr="00E0501A">
        <w:t xml:space="preserve">pushed </w:t>
      </w:r>
      <w:r w:rsidR="00072B77" w:rsidRPr="00E0501A">
        <w:t>lower</w:t>
      </w:r>
      <w:r w:rsidR="002710BC" w:rsidRPr="00E0501A">
        <w:t xml:space="preserve"> (</w:t>
      </w:r>
      <w:r w:rsidR="00072B77" w:rsidRPr="00E0501A">
        <w:t xml:space="preserve">up </w:t>
      </w:r>
      <w:r w:rsidR="003C26EF" w:rsidRPr="00E0501A">
        <w:t xml:space="preserve">in </w:t>
      </w:r>
      <w:r w:rsidR="002710BC" w:rsidRPr="00E0501A">
        <w:t xml:space="preserve">yield) </w:t>
      </w:r>
      <w:r w:rsidR="00446119" w:rsidRPr="00E0501A">
        <w:t xml:space="preserve">following on the trend established last month when </w:t>
      </w:r>
      <w:r w:rsidR="009C7E09" w:rsidRPr="00E0501A">
        <w:t>C</w:t>
      </w:r>
      <w:r w:rsidR="00A52972" w:rsidRPr="00E0501A">
        <w:t xml:space="preserve">entral </w:t>
      </w:r>
      <w:r w:rsidR="009C7E09" w:rsidRPr="00E0501A">
        <w:t>B</w:t>
      </w:r>
      <w:r w:rsidR="00A52972" w:rsidRPr="00E0501A">
        <w:t>ank</w:t>
      </w:r>
      <w:r w:rsidR="00ED2653" w:rsidRPr="00E0501A">
        <w:t xml:space="preserve">s </w:t>
      </w:r>
      <w:r w:rsidR="00343D9A" w:rsidRPr="00E0501A">
        <w:t>began to ease their target cash rates</w:t>
      </w:r>
      <w:r w:rsidR="00B743B6" w:rsidRPr="00E0501A">
        <w:t>.</w:t>
      </w:r>
      <w:r w:rsidR="00343D9A" w:rsidRPr="00E0501A">
        <w:t xml:space="preserve"> </w:t>
      </w:r>
      <w:r w:rsidR="002E3192" w:rsidRPr="00E0501A">
        <w:t>N</w:t>
      </w:r>
      <w:r w:rsidR="00343D9A" w:rsidRPr="00E0501A">
        <w:t xml:space="preserve">ot all economies are experiencing inflation falls and remain focussed on the </w:t>
      </w:r>
      <w:r w:rsidR="00C02439" w:rsidRPr="00E0501A">
        <w:t>longer-term</w:t>
      </w:r>
      <w:r w:rsidR="006820B4" w:rsidRPr="00E0501A">
        <w:t xml:space="preserve"> </w:t>
      </w:r>
      <w:r w:rsidR="00C02439" w:rsidRPr="00E0501A">
        <w:t xml:space="preserve">for </w:t>
      </w:r>
      <w:r w:rsidR="00343D9A" w:rsidRPr="00E0501A">
        <w:t xml:space="preserve">both inflation and </w:t>
      </w:r>
      <w:r w:rsidR="00C02439" w:rsidRPr="00E0501A">
        <w:t xml:space="preserve">cash rates to come down. </w:t>
      </w:r>
      <w:r w:rsidR="002E3192" w:rsidRPr="00E0501A">
        <w:t xml:space="preserve">Australian </w:t>
      </w:r>
      <w:r w:rsidR="00A02F18" w:rsidRPr="00E0501A">
        <w:t>bonds have been</w:t>
      </w:r>
      <w:r w:rsidR="00CE0DD6" w:rsidRPr="00E0501A">
        <w:t xml:space="preserve"> </w:t>
      </w:r>
      <w:r w:rsidR="002E3192" w:rsidRPr="00E0501A">
        <w:t xml:space="preserve">caught up in the </w:t>
      </w:r>
      <w:r w:rsidR="00B743B6" w:rsidRPr="00E0501A">
        <w:t xml:space="preserve">post US election </w:t>
      </w:r>
      <w:r w:rsidR="002E3192" w:rsidRPr="00E0501A">
        <w:t xml:space="preserve">sell-off </w:t>
      </w:r>
      <w:r w:rsidR="00B743B6" w:rsidRPr="00E0501A">
        <w:t xml:space="preserve">however, the market settled and the </w:t>
      </w:r>
      <w:r w:rsidR="00585652" w:rsidRPr="00E0501A">
        <w:t>short-dated</w:t>
      </w:r>
      <w:r w:rsidR="001C4340" w:rsidRPr="00E0501A">
        <w:t xml:space="preserve"> </w:t>
      </w:r>
      <w:r w:rsidR="0022166E" w:rsidRPr="00E0501A">
        <w:t xml:space="preserve"> </w:t>
      </w:r>
      <w:r w:rsidR="00A52972" w:rsidRPr="00E0501A">
        <w:t>2</w:t>
      </w:r>
      <w:r w:rsidR="008D78CF" w:rsidRPr="00E0501A">
        <w:t>-year</w:t>
      </w:r>
      <w:r w:rsidR="00503D92" w:rsidRPr="00E0501A">
        <w:t xml:space="preserve"> </w:t>
      </w:r>
      <w:r w:rsidR="0020369D" w:rsidRPr="00E0501A">
        <w:t xml:space="preserve">Government bonds </w:t>
      </w:r>
      <w:r w:rsidR="00D072D3" w:rsidRPr="00E0501A">
        <w:t xml:space="preserve">trading at </w:t>
      </w:r>
      <w:r w:rsidR="00B743B6" w:rsidRPr="00E0501A">
        <w:rPr>
          <w:b/>
          <w:bCs/>
        </w:rPr>
        <w:t>3.9</w:t>
      </w:r>
      <w:r w:rsidR="00072B77" w:rsidRPr="00E0501A">
        <w:rPr>
          <w:b/>
          <w:bCs/>
        </w:rPr>
        <w:t>6</w:t>
      </w:r>
      <w:r w:rsidR="0020369D" w:rsidRPr="00E0501A">
        <w:rPr>
          <w:b/>
          <w:bCs/>
        </w:rPr>
        <w:t xml:space="preserve">% </w:t>
      </w:r>
      <w:r w:rsidR="00C23855" w:rsidRPr="00E0501A">
        <w:t xml:space="preserve">on the </w:t>
      </w:r>
      <w:r w:rsidR="00072B77" w:rsidRPr="00E0501A">
        <w:t>17</w:t>
      </w:r>
      <w:r w:rsidR="00072B77" w:rsidRPr="00E0501A">
        <w:rPr>
          <w:vertAlign w:val="superscript"/>
        </w:rPr>
        <w:t>th of</w:t>
      </w:r>
      <w:r w:rsidR="00072B77" w:rsidRPr="00E0501A">
        <w:t xml:space="preserve"> January</w:t>
      </w:r>
      <w:r w:rsidR="00C23855" w:rsidRPr="00E0501A">
        <w:t xml:space="preserve"> 202</w:t>
      </w:r>
      <w:r w:rsidR="00072B77" w:rsidRPr="00E0501A">
        <w:t>5</w:t>
      </w:r>
      <w:r w:rsidR="00C23855" w:rsidRPr="00E0501A">
        <w:t xml:space="preserve"> </w:t>
      </w:r>
      <w:r w:rsidR="0022166E" w:rsidRPr="00E0501A">
        <w:t xml:space="preserve">and longer dated </w:t>
      </w:r>
      <w:r w:rsidR="00503D92" w:rsidRPr="00E0501A">
        <w:t>10</w:t>
      </w:r>
      <w:r w:rsidR="008D78CF" w:rsidRPr="00E0501A">
        <w:t>-</w:t>
      </w:r>
      <w:r w:rsidR="00503D92" w:rsidRPr="00E0501A">
        <w:t xml:space="preserve">year </w:t>
      </w:r>
      <w:r w:rsidR="001C4340" w:rsidRPr="00E0501A">
        <w:t xml:space="preserve">bonds </w:t>
      </w:r>
      <w:r w:rsidR="00D072D3" w:rsidRPr="00E0501A">
        <w:t>trading</w:t>
      </w:r>
      <w:r w:rsidR="00AD47B6" w:rsidRPr="00E0501A">
        <w:t xml:space="preserve"> at </w:t>
      </w:r>
      <w:r w:rsidR="00CE0DD6" w:rsidRPr="00E0501A">
        <w:rPr>
          <w:b/>
          <w:bCs/>
        </w:rPr>
        <w:t>4</w:t>
      </w:r>
      <w:r w:rsidR="00B743B6" w:rsidRPr="00E0501A">
        <w:rPr>
          <w:b/>
          <w:bCs/>
        </w:rPr>
        <w:t>.</w:t>
      </w:r>
      <w:r w:rsidR="00072B77" w:rsidRPr="00E0501A">
        <w:rPr>
          <w:b/>
          <w:bCs/>
        </w:rPr>
        <w:t>528</w:t>
      </w:r>
      <w:r w:rsidR="00526D92" w:rsidRPr="00E0501A">
        <w:rPr>
          <w:b/>
          <w:bCs/>
        </w:rPr>
        <w:t>%</w:t>
      </w:r>
      <w:r w:rsidR="00867FD2" w:rsidRPr="00E0501A">
        <w:rPr>
          <w:b/>
          <w:bCs/>
        </w:rPr>
        <w:t>.</w:t>
      </w:r>
      <w:r w:rsidR="00712A94" w:rsidRPr="00E0501A">
        <w:t xml:space="preserve"> </w:t>
      </w:r>
    </w:p>
    <w:p w14:paraId="3C549984" w14:textId="193F1855" w:rsidR="00894706" w:rsidRPr="00E0501A" w:rsidRDefault="00ED23CC" w:rsidP="009E7EF6">
      <w:pPr>
        <w:spacing w:before="120" w:after="120"/>
      </w:pPr>
      <w:r w:rsidRPr="00E0501A">
        <w:t xml:space="preserve">Global Bonds </w:t>
      </w:r>
      <w:r w:rsidR="00C51753" w:rsidRPr="00E0501A">
        <w:t xml:space="preserve">ended </w:t>
      </w:r>
      <w:r w:rsidR="00072B77" w:rsidRPr="00E0501A">
        <w:t>down</w:t>
      </w:r>
      <w:r w:rsidR="00BE2C9A" w:rsidRPr="00E0501A">
        <w:t xml:space="preserve"> </w:t>
      </w:r>
      <w:r w:rsidRPr="00E0501A">
        <w:t>(</w:t>
      </w:r>
      <w:r w:rsidR="00072B77" w:rsidRPr="00E0501A">
        <w:t>-0.98</w:t>
      </w:r>
      <w:r w:rsidR="00867FD2" w:rsidRPr="00E0501A">
        <w:t>%</w:t>
      </w:r>
      <w:r w:rsidRPr="00E0501A">
        <w:t>) and Australia</w:t>
      </w:r>
      <w:r w:rsidR="00037BFE" w:rsidRPr="00E0501A">
        <w:t>n Bonds</w:t>
      </w:r>
      <w:r w:rsidRPr="00E0501A">
        <w:t xml:space="preserve"> end</w:t>
      </w:r>
      <w:r w:rsidR="002720B5" w:rsidRPr="00E0501A">
        <w:t>ed</w:t>
      </w:r>
      <w:r w:rsidRPr="00E0501A">
        <w:t xml:space="preserve"> </w:t>
      </w:r>
      <w:r w:rsidR="00072B77" w:rsidRPr="00E0501A">
        <w:t>up</w:t>
      </w:r>
      <w:r w:rsidR="00867FD2" w:rsidRPr="00E0501A">
        <w:t xml:space="preserve"> </w:t>
      </w:r>
      <w:r w:rsidRPr="00E0501A">
        <w:t>(</w:t>
      </w:r>
      <w:r w:rsidR="00072B77" w:rsidRPr="00E0501A">
        <w:t>+0.51</w:t>
      </w:r>
      <w:r w:rsidR="00A94C92" w:rsidRPr="00E0501A">
        <w:t>%</w:t>
      </w:r>
      <w:r w:rsidRPr="00E0501A">
        <w:t>) for the month</w:t>
      </w:r>
      <w:r w:rsidR="00B6686A" w:rsidRPr="00E0501A">
        <w:t xml:space="preserve"> of </w:t>
      </w:r>
      <w:r w:rsidR="00072B77" w:rsidRPr="00E0501A">
        <w:t>Dec</w:t>
      </w:r>
      <w:r w:rsidR="00A66805" w:rsidRPr="00E0501A">
        <w:t>em</w:t>
      </w:r>
      <w:r w:rsidR="003E3E67" w:rsidRPr="00E0501A">
        <w:t>ber</w:t>
      </w:r>
      <w:r w:rsidR="002F59EA" w:rsidRPr="00E0501A">
        <w:t xml:space="preserve"> </w:t>
      </w:r>
      <w:r w:rsidR="00AA627D" w:rsidRPr="00E0501A">
        <w:t>202</w:t>
      </w:r>
      <w:r w:rsidR="00A24C96" w:rsidRPr="00E0501A">
        <w:t>4</w:t>
      </w:r>
      <w:r w:rsidR="0049196F" w:rsidRPr="00E0501A">
        <w:t xml:space="preserve"> </w:t>
      </w:r>
      <w:r w:rsidR="00037BFE" w:rsidRPr="00E0501A">
        <w:t>and</w:t>
      </w:r>
      <w:r w:rsidR="0049196F" w:rsidRPr="00E0501A">
        <w:t xml:space="preserve"> </w:t>
      </w:r>
      <w:r w:rsidR="00072B77" w:rsidRPr="00E0501A">
        <w:t>down</w:t>
      </w:r>
      <w:r w:rsidR="00763854" w:rsidRPr="00E0501A">
        <w:t xml:space="preserve"> </w:t>
      </w:r>
      <w:r w:rsidR="0049196F" w:rsidRPr="00E0501A">
        <w:t>(</w:t>
      </w:r>
      <w:r w:rsidR="00072B77" w:rsidRPr="00E0501A">
        <w:t>-1.36</w:t>
      </w:r>
      <w:r w:rsidR="0058031F" w:rsidRPr="00E0501A">
        <w:t>%</w:t>
      </w:r>
      <w:r w:rsidR="0049196F" w:rsidRPr="00E0501A">
        <w:t>) and</w:t>
      </w:r>
      <w:r w:rsidR="00AB090A" w:rsidRPr="00E0501A">
        <w:t xml:space="preserve"> </w:t>
      </w:r>
      <w:r w:rsidR="0049196F" w:rsidRPr="00E0501A">
        <w:t>(</w:t>
      </w:r>
      <w:r w:rsidR="003E3E67" w:rsidRPr="00E0501A">
        <w:t>-0.</w:t>
      </w:r>
      <w:r w:rsidR="00072B77" w:rsidRPr="00E0501A">
        <w:t>26</w:t>
      </w:r>
      <w:r w:rsidR="0049196F" w:rsidRPr="00E0501A">
        <w:t xml:space="preserve">%) respectively for the </w:t>
      </w:r>
      <w:r w:rsidR="00B6686A" w:rsidRPr="00E0501A">
        <w:t xml:space="preserve">previous three </w:t>
      </w:r>
      <w:r w:rsidR="0049196F" w:rsidRPr="00E0501A">
        <w:t>month</w:t>
      </w:r>
      <w:r w:rsidR="00B6686A" w:rsidRPr="00E0501A">
        <w:t>s</w:t>
      </w:r>
      <w:r w:rsidR="0049196F" w:rsidRPr="00E0501A">
        <w:t>.</w:t>
      </w:r>
      <w:r w:rsidR="009E7EF6" w:rsidRPr="00E0501A">
        <w:t xml:space="preserve"> </w:t>
      </w:r>
    </w:p>
    <w:p w14:paraId="570C9ACA" w14:textId="7B481C09" w:rsidR="00455665" w:rsidRPr="00E0501A" w:rsidRDefault="000B03C8" w:rsidP="00037046">
      <w:pPr>
        <w:spacing w:before="120" w:after="120"/>
      </w:pPr>
      <w:r w:rsidRPr="00E0501A">
        <w:t xml:space="preserve">The RBA </w:t>
      </w:r>
      <w:r w:rsidR="008F5FF7" w:rsidRPr="00E0501A">
        <w:t>left</w:t>
      </w:r>
      <w:r w:rsidR="00892EB2" w:rsidRPr="00E0501A">
        <w:t xml:space="preserve"> the </w:t>
      </w:r>
      <w:r w:rsidRPr="00E0501A">
        <w:rPr>
          <w:b/>
          <w:bCs/>
        </w:rPr>
        <w:t xml:space="preserve">target cash rate </w:t>
      </w:r>
      <w:r w:rsidR="008F5FF7" w:rsidRPr="00E0501A">
        <w:rPr>
          <w:b/>
          <w:bCs/>
        </w:rPr>
        <w:t>at</w:t>
      </w:r>
      <w:r w:rsidR="00892EB2" w:rsidRPr="00E0501A">
        <w:rPr>
          <w:b/>
          <w:bCs/>
        </w:rPr>
        <w:t xml:space="preserve"> </w:t>
      </w:r>
      <w:r w:rsidR="00D72327" w:rsidRPr="00E0501A">
        <w:rPr>
          <w:b/>
          <w:bCs/>
        </w:rPr>
        <w:t>4.</w:t>
      </w:r>
      <w:r w:rsidR="00892EB2" w:rsidRPr="00E0501A">
        <w:rPr>
          <w:b/>
          <w:bCs/>
        </w:rPr>
        <w:t>35</w:t>
      </w:r>
      <w:r w:rsidRPr="00E0501A">
        <w:rPr>
          <w:b/>
          <w:bCs/>
        </w:rPr>
        <w:t>%</w:t>
      </w:r>
      <w:r w:rsidRPr="00E0501A">
        <w:t xml:space="preserve"> </w:t>
      </w:r>
      <w:r w:rsidR="006C7AED" w:rsidRPr="00E0501A">
        <w:t>follow</w:t>
      </w:r>
      <w:r w:rsidRPr="00E0501A">
        <w:t xml:space="preserve">ing the </w:t>
      </w:r>
      <w:r w:rsidR="00B8507E" w:rsidRPr="00E0501A">
        <w:t>10</w:t>
      </w:r>
      <w:r w:rsidR="00A649C7" w:rsidRPr="00E0501A">
        <w:rPr>
          <w:vertAlign w:val="superscript"/>
        </w:rPr>
        <w:t>th of</w:t>
      </w:r>
      <w:r w:rsidR="003E3E67" w:rsidRPr="00E0501A">
        <w:t xml:space="preserve"> </w:t>
      </w:r>
      <w:r w:rsidR="00B8507E" w:rsidRPr="00E0501A">
        <w:t>Dec</w:t>
      </w:r>
      <w:r w:rsidR="003E3E67" w:rsidRPr="00E0501A">
        <w:t>ember</w:t>
      </w:r>
      <w:r w:rsidRPr="00E0501A">
        <w:t xml:space="preserve"> </w:t>
      </w:r>
      <w:r w:rsidR="00781A24" w:rsidRPr="00E0501A">
        <w:t>202</w:t>
      </w:r>
      <w:r w:rsidR="00A24C96" w:rsidRPr="00E0501A">
        <w:t>4</w:t>
      </w:r>
      <w:r w:rsidR="00781A24" w:rsidRPr="00E0501A">
        <w:t xml:space="preserve"> </w:t>
      </w:r>
      <w:r w:rsidRPr="00E0501A">
        <w:t xml:space="preserve">board </w:t>
      </w:r>
      <w:r w:rsidR="00AB090A" w:rsidRPr="00E0501A">
        <w:t>meeting</w:t>
      </w:r>
      <w:r w:rsidR="00A653E3" w:rsidRPr="00E0501A">
        <w:t xml:space="preserve"> and </w:t>
      </w:r>
      <w:r w:rsidR="003B5C51" w:rsidRPr="00E0501A">
        <w:t>stated that</w:t>
      </w:r>
      <w:r w:rsidR="00AB090A" w:rsidRPr="00E0501A">
        <w:t>:</w:t>
      </w:r>
      <w:r w:rsidRPr="00E0501A">
        <w:t xml:space="preserve"> </w:t>
      </w:r>
      <w:r w:rsidR="00455665" w:rsidRPr="00E0501A">
        <w:t xml:space="preserve"> </w:t>
      </w:r>
    </w:p>
    <w:p w14:paraId="7C39D929" w14:textId="0FED54D8" w:rsidR="003E3E67" w:rsidRPr="00E0501A" w:rsidRDefault="003E3E67" w:rsidP="003E3E67">
      <w:pPr>
        <w:spacing w:before="120" w:after="120"/>
        <w:ind w:left="720"/>
      </w:pPr>
      <w:r w:rsidRPr="00E0501A">
        <w:rPr>
          <w:rFonts w:ascii="Calibri" w:hAnsi="Calibri" w:cs="Calibri"/>
          <w:i/>
          <w:iCs/>
          <w:sz w:val="24"/>
          <w:szCs w:val="24"/>
          <w:shd w:val="clear" w:color="auto" w:fill="FFFFFF"/>
        </w:rPr>
        <w:t xml:space="preserve">“Sustainably returning inflation to target within a reasonable timeframe remains the Board’s highest priority. This is consistent with the RBA’s mandate for price stability and full employment. To date, longer term inflation expectations have been consistent with the inflation target, and it is important that this remains the case. While headline inflation has declined substantially and will remain lower for a time, </w:t>
      </w:r>
      <w:r w:rsidRPr="00E0501A">
        <w:rPr>
          <w:rFonts w:ascii="Calibri" w:hAnsi="Calibri" w:cs="Calibri"/>
          <w:b/>
          <w:bCs/>
          <w:i/>
          <w:iCs/>
          <w:sz w:val="24"/>
          <w:szCs w:val="24"/>
          <w:shd w:val="clear" w:color="auto" w:fill="FFFFFF"/>
        </w:rPr>
        <w:t>underlying inflation is more indicative of inflation momentum</w:t>
      </w:r>
      <w:r w:rsidRPr="00E0501A">
        <w:rPr>
          <w:rFonts w:ascii="Calibri" w:hAnsi="Calibri" w:cs="Calibri"/>
          <w:i/>
          <w:iCs/>
          <w:sz w:val="24"/>
          <w:szCs w:val="24"/>
          <w:shd w:val="clear" w:color="auto" w:fill="FFFFFF"/>
        </w:rPr>
        <w:t xml:space="preserve">, and it remains too high. </w:t>
      </w:r>
      <w:r w:rsidR="00B8507E" w:rsidRPr="00E0501A">
        <w:rPr>
          <w:rFonts w:ascii="Calibri" w:hAnsi="Calibri" w:cs="Calibri"/>
          <w:i/>
          <w:iCs/>
          <w:sz w:val="24"/>
          <w:szCs w:val="24"/>
          <w:shd w:val="clear" w:color="auto" w:fill="FFFFFF"/>
        </w:rPr>
        <w:t>The November SMP forecasts suggest that it will be some time yet before inflation is sustainably in the target range and approaching the midpoint. Recent data on inflation and economic conditions are still consistent with these forecasts, and the Board is gaining some confidence that inflation is moving sustainably towards target</w:t>
      </w:r>
      <w:r w:rsidRPr="00E0501A">
        <w:rPr>
          <w:rFonts w:ascii="Calibri" w:hAnsi="Calibri" w:cs="Calibri"/>
          <w:i/>
          <w:iCs/>
          <w:sz w:val="24"/>
          <w:szCs w:val="24"/>
          <w:shd w:val="clear" w:color="auto" w:fill="FFFFFF"/>
        </w:rPr>
        <w:t>“.</w:t>
      </w:r>
    </w:p>
    <w:p w14:paraId="524CE830" w14:textId="0BB21DF4" w:rsidR="003E3E67" w:rsidRPr="00E0501A" w:rsidRDefault="003E3E67" w:rsidP="003E3E67">
      <w:pPr>
        <w:spacing w:after="0" w:line="360" w:lineRule="auto"/>
        <w:ind w:left="720"/>
        <w:rPr>
          <w:rFonts w:ascii="Calibri" w:hAnsi="Calibri" w:cs="Calibri"/>
          <w:i/>
          <w:iCs/>
          <w:shd w:val="clear" w:color="auto" w:fill="FFFFFF"/>
        </w:rPr>
      </w:pPr>
      <w:r w:rsidRPr="00E0501A">
        <w:rPr>
          <w:rFonts w:ascii="Calibri" w:hAnsi="Calibri" w:cs="Calibri"/>
          <w:i/>
          <w:iCs/>
          <w:shd w:val="clear" w:color="auto" w:fill="FFFFFF"/>
        </w:rPr>
        <w:t xml:space="preserve">Michelle Bullock, Governor, RBA Monetary Policy Board meeting, </w:t>
      </w:r>
      <w:r w:rsidR="00B8507E" w:rsidRPr="00E0501A">
        <w:rPr>
          <w:rFonts w:ascii="Calibri" w:hAnsi="Calibri" w:cs="Calibri"/>
          <w:i/>
          <w:iCs/>
          <w:shd w:val="clear" w:color="auto" w:fill="FFFFFF"/>
        </w:rPr>
        <w:t>10</w:t>
      </w:r>
      <w:r w:rsidRPr="00E0501A">
        <w:rPr>
          <w:rFonts w:ascii="Calibri" w:hAnsi="Calibri" w:cs="Calibri"/>
          <w:i/>
          <w:iCs/>
          <w:shd w:val="clear" w:color="auto" w:fill="FFFFFF"/>
          <w:vertAlign w:val="superscript"/>
        </w:rPr>
        <w:t>th</w:t>
      </w:r>
      <w:r w:rsidRPr="00E0501A">
        <w:rPr>
          <w:rFonts w:ascii="Calibri" w:hAnsi="Calibri" w:cs="Calibri"/>
          <w:i/>
          <w:iCs/>
          <w:shd w:val="clear" w:color="auto" w:fill="FFFFFF"/>
        </w:rPr>
        <w:t xml:space="preserve"> </w:t>
      </w:r>
      <w:r w:rsidR="00B8507E" w:rsidRPr="00E0501A">
        <w:rPr>
          <w:rFonts w:ascii="Calibri" w:hAnsi="Calibri" w:cs="Calibri"/>
          <w:i/>
          <w:iCs/>
          <w:shd w:val="clear" w:color="auto" w:fill="FFFFFF"/>
        </w:rPr>
        <w:t>Dece</w:t>
      </w:r>
      <w:r w:rsidRPr="00E0501A">
        <w:rPr>
          <w:rFonts w:ascii="Calibri" w:hAnsi="Calibri" w:cs="Calibri"/>
          <w:i/>
          <w:iCs/>
          <w:shd w:val="clear" w:color="auto" w:fill="FFFFFF"/>
        </w:rPr>
        <w:t>mber 2024.</w:t>
      </w:r>
    </w:p>
    <w:p w14:paraId="593CB94C" w14:textId="54925F43" w:rsidR="007A5EA0" w:rsidRPr="00E0501A" w:rsidRDefault="007A5EA0" w:rsidP="00354CB7">
      <w:pPr>
        <w:spacing w:before="120" w:after="120"/>
      </w:pPr>
      <w:r w:rsidRPr="00E0501A">
        <w:t>The US 10-year Government bonds closed at (</w:t>
      </w:r>
      <w:r w:rsidR="00D70708" w:rsidRPr="00E0501A">
        <w:rPr>
          <w:b/>
          <w:bCs/>
        </w:rPr>
        <w:t>4.</w:t>
      </w:r>
      <w:r w:rsidR="00072B77" w:rsidRPr="00E0501A">
        <w:rPr>
          <w:b/>
          <w:bCs/>
        </w:rPr>
        <w:t>572</w:t>
      </w:r>
      <w:r w:rsidRPr="00E0501A">
        <w:rPr>
          <w:b/>
          <w:bCs/>
        </w:rPr>
        <w:t>%</w:t>
      </w:r>
      <w:r w:rsidRPr="00E0501A">
        <w:t xml:space="preserve">) for the </w:t>
      </w:r>
      <w:r w:rsidR="00C175CC" w:rsidRPr="00E0501A">
        <w:t>month</w:t>
      </w:r>
      <w:r w:rsidRPr="00E0501A">
        <w:t xml:space="preserve"> </w:t>
      </w:r>
      <w:r w:rsidR="00A439D5" w:rsidRPr="00E0501A">
        <w:t>up</w:t>
      </w:r>
      <w:r w:rsidRPr="00E0501A">
        <w:t xml:space="preserve"> in yield (</w:t>
      </w:r>
      <w:r w:rsidR="00A439D5" w:rsidRPr="00E0501A">
        <w:t>+</w:t>
      </w:r>
      <w:r w:rsidR="00DB63F1" w:rsidRPr="00E0501A">
        <w:t>0.</w:t>
      </w:r>
      <w:r w:rsidR="00072B77" w:rsidRPr="00E0501A">
        <w:t>395</w:t>
      </w:r>
      <w:r w:rsidRPr="00E0501A">
        <w:t xml:space="preserve">%) from the previous month close of </w:t>
      </w:r>
      <w:r w:rsidR="002F043F" w:rsidRPr="00E0501A">
        <w:t>(</w:t>
      </w:r>
      <w:r w:rsidR="00DB63F1" w:rsidRPr="00E0501A">
        <w:t>4.</w:t>
      </w:r>
      <w:r w:rsidR="00072B77" w:rsidRPr="00E0501A">
        <w:t>177</w:t>
      </w:r>
      <w:r w:rsidRPr="00E0501A">
        <w:t xml:space="preserve">%). </w:t>
      </w:r>
    </w:p>
    <w:p w14:paraId="7B169699" w14:textId="43786B60" w:rsidR="007A5EA0" w:rsidRPr="00E0501A" w:rsidRDefault="007A5EA0" w:rsidP="007A5EA0">
      <w:pPr>
        <w:spacing w:before="120" w:after="120" w:line="240" w:lineRule="auto"/>
      </w:pPr>
      <w:r w:rsidRPr="00E0501A">
        <w:t xml:space="preserve">The Australian Government 10-year bonds finished </w:t>
      </w:r>
      <w:r w:rsidR="00072B77" w:rsidRPr="00E0501A">
        <w:t>lower</w:t>
      </w:r>
      <w:r w:rsidRPr="00E0501A">
        <w:t xml:space="preserve"> in yield in</w:t>
      </w:r>
      <w:r w:rsidR="00767F50" w:rsidRPr="00E0501A">
        <w:t xml:space="preserve"> </w:t>
      </w:r>
      <w:r w:rsidR="00072B77" w:rsidRPr="00E0501A">
        <w:t>Dec</w:t>
      </w:r>
      <w:r w:rsidR="00DB63F1" w:rsidRPr="00E0501A">
        <w:t>em</w:t>
      </w:r>
      <w:r w:rsidR="00D70708" w:rsidRPr="00E0501A">
        <w:t>b</w:t>
      </w:r>
      <w:r w:rsidR="000A7345" w:rsidRPr="00E0501A">
        <w:t>er</w:t>
      </w:r>
      <w:r w:rsidRPr="00E0501A">
        <w:t xml:space="preserve"> 202</w:t>
      </w:r>
      <w:r w:rsidR="00EB3A29" w:rsidRPr="00E0501A">
        <w:t>4</w:t>
      </w:r>
      <w:r w:rsidRPr="00E0501A">
        <w:t xml:space="preserve"> at (</w:t>
      </w:r>
      <w:r w:rsidR="00D70708" w:rsidRPr="00E0501A">
        <w:rPr>
          <w:b/>
          <w:bCs/>
        </w:rPr>
        <w:t>4.</w:t>
      </w:r>
      <w:r w:rsidR="00DB63F1" w:rsidRPr="00E0501A">
        <w:rPr>
          <w:b/>
          <w:bCs/>
        </w:rPr>
        <w:t>3</w:t>
      </w:r>
      <w:r w:rsidR="00072B77" w:rsidRPr="00E0501A">
        <w:rPr>
          <w:b/>
          <w:bCs/>
        </w:rPr>
        <w:t>67</w:t>
      </w:r>
      <w:r w:rsidRPr="00E0501A">
        <w:rPr>
          <w:b/>
          <w:bCs/>
        </w:rPr>
        <w:t>%</w:t>
      </w:r>
      <w:r w:rsidRPr="00E0501A">
        <w:t xml:space="preserve">) </w:t>
      </w:r>
      <w:r w:rsidR="00DB63F1" w:rsidRPr="00E0501A">
        <w:t>down</w:t>
      </w:r>
      <w:r w:rsidR="00702885" w:rsidRPr="00E0501A">
        <w:t xml:space="preserve"> </w:t>
      </w:r>
      <w:r w:rsidR="00C175CC" w:rsidRPr="00E0501A">
        <w:t xml:space="preserve">in yield </w:t>
      </w:r>
      <w:r w:rsidRPr="00E0501A">
        <w:t>(</w:t>
      </w:r>
      <w:r w:rsidR="00DB63F1" w:rsidRPr="00E0501A">
        <w:t>-0.</w:t>
      </w:r>
      <w:r w:rsidR="00072B77" w:rsidRPr="00E0501A">
        <w:t>005</w:t>
      </w:r>
      <w:r w:rsidR="00D70708" w:rsidRPr="00E0501A">
        <w:t>%</w:t>
      </w:r>
      <w:r w:rsidRPr="00E0501A">
        <w:t>) from (</w:t>
      </w:r>
      <w:r w:rsidR="00DB63F1" w:rsidRPr="00E0501A">
        <w:t>4.</w:t>
      </w:r>
      <w:r w:rsidR="00072B77" w:rsidRPr="00E0501A">
        <w:t>372</w:t>
      </w:r>
      <w:r w:rsidRPr="00E0501A">
        <w:t xml:space="preserve">%) in </w:t>
      </w:r>
      <w:r w:rsidR="00072B77" w:rsidRPr="00E0501A">
        <w:t>Novem</w:t>
      </w:r>
      <w:r w:rsidR="00D70708" w:rsidRPr="00E0501A">
        <w:t>ber</w:t>
      </w:r>
      <w:r w:rsidRPr="00E0501A">
        <w:t xml:space="preserve"> 202</w:t>
      </w:r>
      <w:r w:rsidR="00BE2C9A" w:rsidRPr="00E0501A">
        <w:t>4</w:t>
      </w:r>
      <w:r w:rsidRPr="00E0501A">
        <w:t xml:space="preserve">. </w:t>
      </w:r>
    </w:p>
    <w:p w14:paraId="2FF27718" w14:textId="10DB594F" w:rsidR="009E7EF6" w:rsidRPr="00E0501A" w:rsidRDefault="00A439D5" w:rsidP="00E0501A">
      <w:pPr>
        <w:spacing w:before="0" w:after="0"/>
        <w:jc w:val="center"/>
      </w:pPr>
      <w:r w:rsidRPr="00E0501A">
        <w:rPr>
          <w:noProof/>
        </w:rPr>
        <w:lastRenderedPageBreak/>
        <w:drawing>
          <wp:inline distT="0" distB="0" distL="0" distR="0" wp14:anchorId="456B7F6A" wp14:editId="42C39653">
            <wp:extent cx="4201160" cy="1580023"/>
            <wp:effectExtent l="0" t="0" r="8890" b="1270"/>
            <wp:docPr id="12813076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5561" cy="1581678"/>
                    </a:xfrm>
                    <a:prstGeom prst="rect">
                      <a:avLst/>
                    </a:prstGeom>
                    <a:noFill/>
                    <a:ln>
                      <a:noFill/>
                    </a:ln>
                  </pic:spPr>
                </pic:pic>
              </a:graphicData>
            </a:graphic>
          </wp:inline>
        </w:drawing>
      </w:r>
    </w:p>
    <w:p w14:paraId="03CFA4CC" w14:textId="3540A246" w:rsidR="009E7EF6" w:rsidRPr="00E0501A" w:rsidRDefault="009E7EF6" w:rsidP="00E0501A">
      <w:pPr>
        <w:spacing w:before="0" w:after="0"/>
        <w:jc w:val="center"/>
        <w:rPr>
          <w:sz w:val="18"/>
        </w:rPr>
      </w:pPr>
      <w:r w:rsidRPr="00E0501A">
        <w:rPr>
          <w:sz w:val="18"/>
        </w:rPr>
        <w:t xml:space="preserve">Source data: Lonsec as </w:t>
      </w:r>
      <w:r w:rsidR="0023164B" w:rsidRPr="00E0501A">
        <w:rPr>
          <w:sz w:val="18"/>
        </w:rPr>
        <w:t>of</w:t>
      </w:r>
      <w:r w:rsidRPr="00E0501A">
        <w:rPr>
          <w:sz w:val="18"/>
        </w:rPr>
        <w:t xml:space="preserve"> </w:t>
      </w:r>
      <w:r w:rsidR="00092751" w:rsidRPr="00E0501A">
        <w:rPr>
          <w:sz w:val="18"/>
        </w:rPr>
        <w:t>3</w:t>
      </w:r>
      <w:r w:rsidR="00A439D5" w:rsidRPr="00E0501A">
        <w:rPr>
          <w:sz w:val="18"/>
        </w:rPr>
        <w:t>1</w:t>
      </w:r>
      <w:r w:rsidR="00A439D5" w:rsidRPr="00E0501A">
        <w:rPr>
          <w:sz w:val="18"/>
          <w:vertAlign w:val="superscript"/>
        </w:rPr>
        <w:t>st</w:t>
      </w:r>
      <w:r w:rsidR="00A439D5" w:rsidRPr="00E0501A">
        <w:rPr>
          <w:sz w:val="18"/>
        </w:rPr>
        <w:t xml:space="preserve"> December</w:t>
      </w:r>
      <w:r w:rsidR="009B1992" w:rsidRPr="00E0501A">
        <w:rPr>
          <w:sz w:val="18"/>
        </w:rPr>
        <w:t xml:space="preserve"> </w:t>
      </w:r>
      <w:r w:rsidR="00AA627D" w:rsidRPr="00E0501A">
        <w:rPr>
          <w:sz w:val="18"/>
        </w:rPr>
        <w:t>202</w:t>
      </w:r>
      <w:r w:rsidR="000D513F" w:rsidRPr="00E0501A">
        <w:rPr>
          <w:sz w:val="18"/>
        </w:rPr>
        <w:t>4</w:t>
      </w:r>
    </w:p>
    <w:p w14:paraId="16FB30A8" w14:textId="77777777" w:rsidR="00670F31" w:rsidRPr="00E0501A" w:rsidRDefault="00670F31" w:rsidP="009E7EF6">
      <w:pPr>
        <w:jc w:val="center"/>
        <w:rPr>
          <w:sz w:val="18"/>
        </w:rPr>
      </w:pPr>
    </w:p>
    <w:p w14:paraId="0988FFF2" w14:textId="77777777" w:rsidR="009E7EF6" w:rsidRPr="00E0501A"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E0501A">
        <w:rPr>
          <w:rFonts w:asciiTheme="minorHAnsi" w:eastAsiaTheme="minorEastAsia" w:hAnsiTheme="minorHAnsi" w:cstheme="minorBidi"/>
          <w:iCs w:val="0"/>
          <w:color w:val="414042" w:themeColor="text1"/>
          <w:sz w:val="22"/>
          <w:lang w:val="en-AU" w:bidi="ar-SA"/>
        </w:rPr>
        <w:t>Currency</w:t>
      </w:r>
    </w:p>
    <w:p w14:paraId="67CFAFAB" w14:textId="3E823DDC" w:rsidR="009E7EF6" w:rsidRPr="00E0501A" w:rsidRDefault="009E7EF6" w:rsidP="00A70A09">
      <w:pPr>
        <w:spacing w:before="0" w:after="0"/>
      </w:pPr>
      <w:r w:rsidRPr="00E0501A">
        <w:t xml:space="preserve">The </w:t>
      </w:r>
      <w:r w:rsidR="00590B4A" w:rsidRPr="00E0501A">
        <w:t>$</w:t>
      </w:r>
      <w:r w:rsidRPr="00E0501A">
        <w:t xml:space="preserve">A closed </w:t>
      </w:r>
      <w:r w:rsidR="00D70708" w:rsidRPr="00E0501A">
        <w:t>weaker</w:t>
      </w:r>
      <w:r w:rsidR="009B1992" w:rsidRPr="00E0501A">
        <w:t xml:space="preserve"> </w:t>
      </w:r>
      <w:r w:rsidR="00590B4A" w:rsidRPr="00E0501A">
        <w:t xml:space="preserve">AUD/USD </w:t>
      </w:r>
      <w:r w:rsidRPr="00E0501A">
        <w:t>0.</w:t>
      </w:r>
      <w:r w:rsidR="003638C4" w:rsidRPr="00E0501A">
        <w:t>6</w:t>
      </w:r>
      <w:r w:rsidR="002B4F5F" w:rsidRPr="00E0501A">
        <w:t>2</w:t>
      </w:r>
      <w:r w:rsidR="00107D5C" w:rsidRPr="00E0501A">
        <w:t>17</w:t>
      </w:r>
      <w:r w:rsidRPr="00E0501A">
        <w:t xml:space="preserve"> at the end of </w:t>
      </w:r>
      <w:r w:rsidR="002B4F5F" w:rsidRPr="00E0501A">
        <w:t>Dec</w:t>
      </w:r>
      <w:r w:rsidR="00107D5C" w:rsidRPr="00E0501A">
        <w:t>em</w:t>
      </w:r>
      <w:r w:rsidR="00D70708" w:rsidRPr="00E0501A">
        <w:t>ber</w:t>
      </w:r>
      <w:r w:rsidR="00AA627D" w:rsidRPr="00E0501A">
        <w:t xml:space="preserve"> 202</w:t>
      </w:r>
      <w:r w:rsidR="000D513F" w:rsidRPr="00E0501A">
        <w:t>4</w:t>
      </w:r>
      <w:r w:rsidRPr="00E0501A">
        <w:t xml:space="preserve"> which </w:t>
      </w:r>
      <w:r w:rsidR="00811CBE" w:rsidRPr="00E0501A">
        <w:t xml:space="preserve">was a </w:t>
      </w:r>
      <w:r w:rsidR="00D70708" w:rsidRPr="00E0501A">
        <w:t>positive</w:t>
      </w:r>
      <w:r w:rsidR="00811CBE" w:rsidRPr="00E0501A">
        <w:t xml:space="preserve"> for </w:t>
      </w:r>
      <w:r w:rsidR="00A72332" w:rsidRPr="00E0501A">
        <w:t>returns for</w:t>
      </w:r>
      <w:r w:rsidRPr="00E0501A">
        <w:t xml:space="preserve"> investors who held offshore assets unhedged (</w:t>
      </w:r>
      <w:r w:rsidR="00107D5C" w:rsidRPr="00E0501A">
        <w:t>+</w:t>
      </w:r>
      <w:r w:rsidR="002B4F5F" w:rsidRPr="00E0501A">
        <w:t>4.60</w:t>
      </w:r>
      <w:r w:rsidRPr="00E0501A">
        <w:t xml:space="preserve">%) over the </w:t>
      </w:r>
      <w:r w:rsidR="00CE6ADD" w:rsidRPr="00E0501A">
        <w:t xml:space="preserve">month </w:t>
      </w:r>
      <w:r w:rsidR="00DE0182" w:rsidRPr="00E0501A">
        <w:t>and</w:t>
      </w:r>
      <w:r w:rsidR="00CA7193" w:rsidRPr="00E0501A">
        <w:t xml:space="preserve"> </w:t>
      </w:r>
      <w:r w:rsidR="00CE6ADD" w:rsidRPr="00E0501A">
        <w:t>(</w:t>
      </w:r>
      <w:r w:rsidR="00107D5C" w:rsidRPr="00E0501A">
        <w:t>+</w:t>
      </w:r>
      <w:r w:rsidR="002B4F5F" w:rsidRPr="00E0501A">
        <w:t>10.31</w:t>
      </w:r>
      <w:r w:rsidR="00CE6ADD" w:rsidRPr="00E0501A">
        <w:t>%</w:t>
      </w:r>
      <w:r w:rsidR="0088021D" w:rsidRPr="00E0501A">
        <w:t>)</w:t>
      </w:r>
      <w:r w:rsidR="00CE6ADD" w:rsidRPr="00E0501A">
        <w:t xml:space="preserve"> </w:t>
      </w:r>
      <w:r w:rsidR="0088021D" w:rsidRPr="00E0501A">
        <w:t xml:space="preserve">over the </w:t>
      </w:r>
      <w:r w:rsidRPr="00E0501A">
        <w:t>last three months.</w:t>
      </w:r>
    </w:p>
    <w:p w14:paraId="61BE8DE3" w14:textId="1BF9B72E" w:rsidR="004D2D2C" w:rsidRPr="00E0501A" w:rsidRDefault="000F6842" w:rsidP="00E0501A">
      <w:pPr>
        <w:jc w:val="center"/>
      </w:pPr>
      <w:r w:rsidRPr="00E0501A">
        <w:rPr>
          <w:noProof/>
        </w:rPr>
        <mc:AlternateContent>
          <mc:Choice Requires="wps">
            <w:drawing>
              <wp:anchor distT="45720" distB="45720" distL="114300" distR="114300" simplePos="0" relativeHeight="251659264" behindDoc="0" locked="0" layoutInCell="1" allowOverlap="1" wp14:anchorId="7430CB9B" wp14:editId="1D9F20A1">
                <wp:simplePos x="0" y="0"/>
                <wp:positionH relativeFrom="column">
                  <wp:posOffset>3429000</wp:posOffset>
                </wp:positionH>
                <wp:positionV relativeFrom="paragraph">
                  <wp:posOffset>238125</wp:posOffset>
                </wp:positionV>
                <wp:extent cx="2237105" cy="1699260"/>
                <wp:effectExtent l="0" t="0" r="10795" b="15240"/>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69926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06B05BDF" w14:textId="77777777" w:rsidR="009B70AF" w:rsidRDefault="00D63481" w:rsidP="00D63481">
                            <w:pPr>
                              <w:spacing w:before="0"/>
                            </w:pPr>
                            <w:r w:rsidRPr="008F12F3">
                              <w:t>Currency forecasters see the AUD/USD range between</w:t>
                            </w:r>
                            <w:r w:rsidR="009B70AF">
                              <w:t>:</w:t>
                            </w:r>
                          </w:p>
                          <w:p w14:paraId="1A5A1DBC" w14:textId="206D1FFD" w:rsidR="009B70AF" w:rsidRDefault="00D63481" w:rsidP="00D63481">
                            <w:pPr>
                              <w:spacing w:before="0"/>
                            </w:pPr>
                            <w:r w:rsidRPr="00D63481">
                              <w:rPr>
                                <w:b/>
                                <w:bCs/>
                              </w:rPr>
                              <w:t>0.6</w:t>
                            </w:r>
                            <w:r w:rsidR="00770BDF">
                              <w:rPr>
                                <w:b/>
                                <w:bCs/>
                              </w:rPr>
                              <w:t>0</w:t>
                            </w:r>
                            <w:r w:rsidRPr="00D63481">
                              <w:rPr>
                                <w:b/>
                                <w:bCs/>
                              </w:rPr>
                              <w:t>50 and 0.7</w:t>
                            </w:r>
                            <w:r w:rsidR="00770BDF">
                              <w:rPr>
                                <w:b/>
                                <w:bCs/>
                              </w:rPr>
                              <w:t>0</w:t>
                            </w:r>
                            <w:r w:rsidRPr="00D63481">
                              <w:rPr>
                                <w:b/>
                                <w:bCs/>
                              </w:rPr>
                              <w:t>50</w:t>
                            </w:r>
                            <w:r w:rsidRPr="008F12F3">
                              <w:t xml:space="preserve"> cents in the medium term</w:t>
                            </w:r>
                            <w:r>
                              <w:t xml:space="preserve"> and most likely to trade within the</w:t>
                            </w:r>
                            <w:r w:rsidR="009B70AF">
                              <w:t>:</w:t>
                            </w:r>
                          </w:p>
                          <w:p w14:paraId="25E5B1F4" w14:textId="36A0DF95" w:rsidR="009452BE" w:rsidRDefault="00D63481" w:rsidP="00E0501A">
                            <w:pPr>
                              <w:spacing w:before="0"/>
                            </w:pPr>
                            <w:r w:rsidRPr="00D63481">
                              <w:rPr>
                                <w:b/>
                                <w:bCs/>
                              </w:rPr>
                              <w:t>0.5500 to 0.7500</w:t>
                            </w:r>
                            <w:r>
                              <w:t xml:space="preserve"> range in the longer term.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0CB9B" id="_x0000_t202" coordsize="21600,21600" o:spt="202" path="m,l,21600r21600,l21600,xe">
                <v:stroke joinstyle="miter"/>
                <v:path gradientshapeok="t" o:connecttype="rect"/>
              </v:shapetype>
              <v:shape id="Text Box 2" o:spid="_x0000_s1026" type="#_x0000_t202" style="position:absolute;left:0;text-align:left;margin-left:270pt;margin-top:18.75pt;width:176.15pt;height:13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" fillcolor="white [3201]" strokecolor="#414042 [3200]" strokeweight="1pt">
                <v:textbox>
                  <w:txbxContent>
                    <w:p w14:paraId="06B05BDF" w14:textId="77777777" w:rsidR="009B70AF" w:rsidRDefault="00D63481" w:rsidP="00D63481">
                      <w:pPr>
                        <w:spacing w:before="0"/>
                      </w:pPr>
                      <w:r w:rsidRPr="008F12F3">
                        <w:t>Currency forecasters see the AUD/USD range between</w:t>
                      </w:r>
                      <w:r w:rsidR="009B70AF">
                        <w:t>:</w:t>
                      </w:r>
                    </w:p>
                    <w:p w14:paraId="1A5A1DBC" w14:textId="206D1FFD" w:rsidR="009B70AF" w:rsidRDefault="00D63481" w:rsidP="00D63481">
                      <w:pPr>
                        <w:spacing w:before="0"/>
                      </w:pPr>
                      <w:r w:rsidRPr="00D63481">
                        <w:rPr>
                          <w:b/>
                          <w:bCs/>
                        </w:rPr>
                        <w:t>0.6</w:t>
                      </w:r>
                      <w:r w:rsidR="00770BDF">
                        <w:rPr>
                          <w:b/>
                          <w:bCs/>
                        </w:rPr>
                        <w:t>0</w:t>
                      </w:r>
                      <w:r w:rsidRPr="00D63481">
                        <w:rPr>
                          <w:b/>
                          <w:bCs/>
                        </w:rPr>
                        <w:t>50 and 0.7</w:t>
                      </w:r>
                      <w:r w:rsidR="00770BDF">
                        <w:rPr>
                          <w:b/>
                          <w:bCs/>
                        </w:rPr>
                        <w:t>0</w:t>
                      </w:r>
                      <w:r w:rsidRPr="00D63481">
                        <w:rPr>
                          <w:b/>
                          <w:bCs/>
                        </w:rPr>
                        <w:t>50</w:t>
                      </w:r>
                      <w:r w:rsidRPr="008F12F3">
                        <w:t xml:space="preserve"> cents in the medium term</w:t>
                      </w:r>
                      <w:r>
                        <w:t xml:space="preserve"> and most likely to trade within the</w:t>
                      </w:r>
                      <w:r w:rsidR="009B70AF">
                        <w:t>:</w:t>
                      </w:r>
                    </w:p>
                    <w:p w14:paraId="25E5B1F4" w14:textId="36A0DF95" w:rsidR="009452BE" w:rsidRDefault="00D63481" w:rsidP="00E0501A">
                      <w:pPr>
                        <w:spacing w:before="0"/>
                      </w:pPr>
                      <w:r w:rsidRPr="00D63481">
                        <w:rPr>
                          <w:b/>
                          <w:bCs/>
                        </w:rPr>
                        <w:t>0.5500 to 0.7500</w:t>
                      </w:r>
                      <w:r>
                        <w:t xml:space="preserve"> range in the longer term.</w:t>
                      </w:r>
                    </w:p>
                  </w:txbxContent>
                </v:textbox>
                <w10:wrap type="square"/>
              </v:shape>
            </w:pict>
          </mc:Fallback>
        </mc:AlternateContent>
      </w:r>
      <w:r w:rsidR="00770BDF" w:rsidRPr="00E0501A">
        <w:rPr>
          <w:noProof/>
        </w:rPr>
        <w:drawing>
          <wp:inline distT="0" distB="0" distL="0" distR="0" wp14:anchorId="0AE456FD" wp14:editId="42B3A2F3">
            <wp:extent cx="3045870" cy="2452656"/>
            <wp:effectExtent l="0" t="0" r="2540" b="5080"/>
            <wp:docPr id="13225388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9221" cy="2463407"/>
                    </a:xfrm>
                    <a:prstGeom prst="rect">
                      <a:avLst/>
                    </a:prstGeom>
                    <a:noFill/>
                    <a:ln>
                      <a:noFill/>
                    </a:ln>
                  </pic:spPr>
                </pic:pic>
              </a:graphicData>
            </a:graphic>
          </wp:inline>
        </w:drawing>
      </w:r>
    </w:p>
    <w:p w14:paraId="178A1257" w14:textId="77777777" w:rsidR="009E7EF6" w:rsidRPr="00E0501A"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E0501A">
        <w:rPr>
          <w:rFonts w:asciiTheme="minorHAnsi" w:eastAsiaTheme="minorEastAsia" w:hAnsiTheme="minorHAnsi" w:cstheme="minorBidi"/>
          <w:iCs w:val="0"/>
          <w:color w:val="414042" w:themeColor="text1"/>
          <w:sz w:val="22"/>
          <w:lang w:val="en-AU" w:bidi="ar-SA"/>
        </w:rPr>
        <w:t>Australian Economy</w:t>
      </w:r>
    </w:p>
    <w:p w14:paraId="26EE5924" w14:textId="2CC2E874" w:rsidR="009E7EF6" w:rsidRPr="00E0501A" w:rsidRDefault="00E83078" w:rsidP="00A70A09">
      <w:pPr>
        <w:spacing w:before="0" w:after="240"/>
      </w:pPr>
      <w:r w:rsidRPr="00E0501A">
        <w:t>Australia’s latest GDP data for the</w:t>
      </w:r>
      <w:r w:rsidR="00CF265D" w:rsidRPr="00E0501A">
        <w:t xml:space="preserve"> </w:t>
      </w:r>
      <w:r w:rsidR="00642BAE" w:rsidRPr="00E0501A">
        <w:t>third</w:t>
      </w:r>
      <w:r w:rsidRPr="00E0501A">
        <w:t xml:space="preserve"> quarter of 202</w:t>
      </w:r>
      <w:r w:rsidR="0091516C" w:rsidRPr="00E0501A">
        <w:t>4</w:t>
      </w:r>
      <w:r w:rsidRPr="00E0501A">
        <w:t xml:space="preserve"> revealed an </w:t>
      </w:r>
      <w:r w:rsidRPr="00E0501A">
        <w:rPr>
          <w:b/>
          <w:bCs/>
        </w:rPr>
        <w:t xml:space="preserve">annual growth rate of </w:t>
      </w:r>
      <w:r w:rsidR="00642BAE" w:rsidRPr="00E0501A">
        <w:rPr>
          <w:b/>
          <w:bCs/>
        </w:rPr>
        <w:t>0</w:t>
      </w:r>
      <w:r w:rsidR="001F699A" w:rsidRPr="00E0501A">
        <w:rPr>
          <w:b/>
          <w:bCs/>
        </w:rPr>
        <w:t>.</w:t>
      </w:r>
      <w:r w:rsidR="00642BAE" w:rsidRPr="00E0501A">
        <w:rPr>
          <w:b/>
          <w:bCs/>
        </w:rPr>
        <w:t>8</w:t>
      </w:r>
      <w:r w:rsidRPr="00E0501A">
        <w:rPr>
          <w:b/>
          <w:bCs/>
        </w:rPr>
        <w:t>%</w:t>
      </w:r>
      <w:r w:rsidRPr="00E0501A">
        <w:t xml:space="preserve"> which was </w:t>
      </w:r>
      <w:r w:rsidR="001F699A" w:rsidRPr="00E0501A">
        <w:t>down</w:t>
      </w:r>
      <w:r w:rsidR="002656F2" w:rsidRPr="00E0501A">
        <w:t xml:space="preserve"> f</w:t>
      </w:r>
      <w:r w:rsidRPr="00E0501A">
        <w:t xml:space="preserve">rom </w:t>
      </w:r>
      <w:r w:rsidR="0091516C" w:rsidRPr="00E0501A">
        <w:t>1.</w:t>
      </w:r>
      <w:r w:rsidR="00642BAE" w:rsidRPr="00E0501A">
        <w:t>0</w:t>
      </w:r>
      <w:r w:rsidR="001F699A" w:rsidRPr="00E0501A">
        <w:t xml:space="preserve">0% in the </w:t>
      </w:r>
      <w:r w:rsidR="00642BAE" w:rsidRPr="00E0501A">
        <w:t>second</w:t>
      </w:r>
      <w:r w:rsidR="001F699A" w:rsidRPr="00E0501A">
        <w:t xml:space="preserve"> </w:t>
      </w:r>
      <w:r w:rsidRPr="00E0501A">
        <w:t>quarter of 202</w:t>
      </w:r>
      <w:r w:rsidR="00CF265D" w:rsidRPr="00E0501A">
        <w:t>4</w:t>
      </w:r>
      <w:r w:rsidR="002656F2" w:rsidRPr="00E0501A">
        <w:t>.</w:t>
      </w:r>
      <w:r w:rsidRPr="00E0501A">
        <w:t xml:space="preserve"> Unemployment </w:t>
      </w:r>
      <w:r w:rsidR="003B014A" w:rsidRPr="00E0501A">
        <w:t>moved higher</w:t>
      </w:r>
      <w:r w:rsidR="009F26B6" w:rsidRPr="00E0501A">
        <w:t xml:space="preserve"> to </w:t>
      </w:r>
      <w:r w:rsidR="003B014A" w:rsidRPr="00E0501A">
        <w:t>4.0</w:t>
      </w:r>
      <w:r w:rsidR="00481C63" w:rsidRPr="00E0501A">
        <w:t xml:space="preserve">% </w:t>
      </w:r>
      <w:r w:rsidRPr="00E0501A">
        <w:t xml:space="preserve">in </w:t>
      </w:r>
      <w:r w:rsidR="003B014A" w:rsidRPr="00E0501A">
        <w:t>December</w:t>
      </w:r>
      <w:r w:rsidRPr="00E0501A">
        <w:t xml:space="preserve"> 202</w:t>
      </w:r>
      <w:r w:rsidR="0089173A" w:rsidRPr="00E0501A">
        <w:t>4</w:t>
      </w:r>
      <w:r w:rsidR="009F26B6" w:rsidRPr="00E0501A">
        <w:t xml:space="preserve"> </w:t>
      </w:r>
      <w:r w:rsidR="003B014A" w:rsidRPr="00E0501A">
        <w:t>up</w:t>
      </w:r>
      <w:r w:rsidR="00642BAE" w:rsidRPr="00E0501A">
        <w:t xml:space="preserve"> from </w:t>
      </w:r>
      <w:r w:rsidR="003B014A" w:rsidRPr="00E0501A">
        <w:t>3.9</w:t>
      </w:r>
      <w:r w:rsidR="00642BAE" w:rsidRPr="00E0501A">
        <w:t xml:space="preserve">% in </w:t>
      </w:r>
      <w:r w:rsidR="003B014A" w:rsidRPr="00E0501A">
        <w:t>Novem</w:t>
      </w:r>
      <w:r w:rsidR="00642BAE" w:rsidRPr="00E0501A">
        <w:t>ber 2024.</w:t>
      </w:r>
      <w:r w:rsidRPr="00E0501A">
        <w:t xml:space="preserve"> The </w:t>
      </w:r>
      <w:r w:rsidR="00642BAE" w:rsidRPr="00E0501A">
        <w:t xml:space="preserve">Y-O-Y </w:t>
      </w:r>
      <w:r w:rsidR="001918FE" w:rsidRPr="00E0501A">
        <w:rPr>
          <w:b/>
          <w:bCs/>
        </w:rPr>
        <w:t xml:space="preserve">inflation rate </w:t>
      </w:r>
      <w:r w:rsidR="004916DD" w:rsidRPr="00E0501A">
        <w:rPr>
          <w:b/>
          <w:bCs/>
        </w:rPr>
        <w:t>fell</w:t>
      </w:r>
      <w:r w:rsidR="001918FE" w:rsidRPr="00E0501A">
        <w:rPr>
          <w:b/>
          <w:bCs/>
        </w:rPr>
        <w:t xml:space="preserve"> to </w:t>
      </w:r>
      <w:r w:rsidR="004916DD" w:rsidRPr="00E0501A">
        <w:rPr>
          <w:b/>
          <w:bCs/>
        </w:rPr>
        <w:t>2</w:t>
      </w:r>
      <w:r w:rsidR="00A7764C" w:rsidRPr="00E0501A">
        <w:rPr>
          <w:b/>
          <w:bCs/>
        </w:rPr>
        <w:t>.</w:t>
      </w:r>
      <w:r w:rsidR="00301803" w:rsidRPr="00E0501A">
        <w:rPr>
          <w:b/>
          <w:bCs/>
        </w:rPr>
        <w:t>8</w:t>
      </w:r>
      <w:r w:rsidR="001918FE" w:rsidRPr="00E0501A">
        <w:rPr>
          <w:b/>
          <w:bCs/>
        </w:rPr>
        <w:t>%</w:t>
      </w:r>
      <w:r w:rsidR="001918FE" w:rsidRPr="00E0501A">
        <w:t xml:space="preserve"> in the </w:t>
      </w:r>
      <w:r w:rsidR="004916DD" w:rsidRPr="00E0501A">
        <w:t>third</w:t>
      </w:r>
      <w:r w:rsidR="001918FE" w:rsidRPr="00E0501A">
        <w:t xml:space="preserve"> quarter of 202</w:t>
      </w:r>
      <w:r w:rsidR="00A7764C" w:rsidRPr="00E0501A">
        <w:t>4</w:t>
      </w:r>
      <w:r w:rsidR="001918FE" w:rsidRPr="00E0501A">
        <w:t xml:space="preserve"> </w:t>
      </w:r>
      <w:r w:rsidR="004916DD" w:rsidRPr="00E0501A">
        <w:t>down</w:t>
      </w:r>
      <w:r w:rsidR="001918FE" w:rsidRPr="00E0501A">
        <w:t xml:space="preserve"> from </w:t>
      </w:r>
      <w:r w:rsidR="00301803" w:rsidRPr="00E0501A">
        <w:t>3.</w:t>
      </w:r>
      <w:r w:rsidR="004916DD" w:rsidRPr="00E0501A">
        <w:t>8</w:t>
      </w:r>
      <w:r w:rsidR="001918FE" w:rsidRPr="00E0501A">
        <w:t xml:space="preserve">% in the </w:t>
      </w:r>
      <w:r w:rsidR="004916DD" w:rsidRPr="00E0501A">
        <w:t>second</w:t>
      </w:r>
      <w:r w:rsidR="001918FE" w:rsidRPr="00E0501A">
        <w:t xml:space="preserve"> quarter 202</w:t>
      </w:r>
      <w:r w:rsidR="00301803" w:rsidRPr="00E0501A">
        <w:t>4</w:t>
      </w:r>
      <w:r w:rsidR="001918FE" w:rsidRPr="00E0501A">
        <w:t xml:space="preserve">, </w:t>
      </w:r>
      <w:r w:rsidR="009E7EF6" w:rsidRPr="00E0501A">
        <w:t xml:space="preserve">which is </w:t>
      </w:r>
      <w:r w:rsidR="004916DD" w:rsidRPr="00E0501A">
        <w:t>just within</w:t>
      </w:r>
      <w:r w:rsidR="00892627" w:rsidRPr="00E0501A">
        <w:t xml:space="preserve"> the </w:t>
      </w:r>
      <w:r w:rsidR="009E7EF6" w:rsidRPr="00E0501A">
        <w:t xml:space="preserve">Reserve Bank’s targeted 2% to 3% target range. </w:t>
      </w:r>
    </w:p>
    <w:p w14:paraId="2527D827" w14:textId="51929900" w:rsidR="00147535" w:rsidRPr="00E0501A" w:rsidRDefault="003B014A" w:rsidP="00E0501A">
      <w:pPr>
        <w:jc w:val="center"/>
      </w:pPr>
      <w:r w:rsidRPr="00E0501A">
        <w:rPr>
          <w:noProof/>
        </w:rPr>
        <w:lastRenderedPageBreak/>
        <w:drawing>
          <wp:inline distT="0" distB="0" distL="0" distR="0" wp14:anchorId="5A38B1A2" wp14:editId="3C5CA11D">
            <wp:extent cx="2732871" cy="2327117"/>
            <wp:effectExtent l="0" t="0" r="0" b="0"/>
            <wp:docPr id="12484870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8037" cy="2357062"/>
                    </a:xfrm>
                    <a:prstGeom prst="rect">
                      <a:avLst/>
                    </a:prstGeom>
                    <a:noFill/>
                    <a:ln>
                      <a:noFill/>
                    </a:ln>
                  </pic:spPr>
                </pic:pic>
              </a:graphicData>
            </a:graphic>
          </wp:inline>
        </w:drawing>
      </w:r>
      <w:r w:rsidRPr="00E0501A">
        <w:rPr>
          <w:noProof/>
        </w:rPr>
        <w:drawing>
          <wp:inline distT="0" distB="0" distL="0" distR="0" wp14:anchorId="113913F5" wp14:editId="78CD49B2">
            <wp:extent cx="2527069" cy="2332234"/>
            <wp:effectExtent l="0" t="0" r="6985" b="0"/>
            <wp:docPr id="3715168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9596" cy="2334567"/>
                    </a:xfrm>
                    <a:prstGeom prst="rect">
                      <a:avLst/>
                    </a:prstGeom>
                    <a:noFill/>
                    <a:ln>
                      <a:noFill/>
                    </a:ln>
                  </pic:spPr>
                </pic:pic>
              </a:graphicData>
            </a:graphic>
          </wp:inline>
        </w:drawing>
      </w:r>
    </w:p>
    <w:p w14:paraId="49164B88" w14:textId="77777777" w:rsidR="00F33D40" w:rsidRPr="00E0501A" w:rsidRDefault="00F33D40" w:rsidP="00F33D40">
      <w:pPr>
        <w:rPr>
          <w:lang w:val="en-US" w:bidi="en-US"/>
        </w:rPr>
      </w:pPr>
    </w:p>
    <w:p w14:paraId="6D8387E0" w14:textId="718379AB" w:rsidR="009E7EF6" w:rsidRPr="00E0501A" w:rsidRDefault="00147535" w:rsidP="00E0501A">
      <w:pPr>
        <w:rPr>
          <w:b/>
          <w:bCs/>
          <w:iCs/>
          <w:caps/>
        </w:rPr>
      </w:pPr>
      <w:r w:rsidRPr="00E0501A">
        <w:rPr>
          <w:b/>
          <w:bCs/>
        </w:rPr>
        <w:t>Curr</w:t>
      </w:r>
      <w:r w:rsidR="009E7EF6" w:rsidRPr="00E0501A">
        <w:rPr>
          <w:b/>
          <w:bCs/>
        </w:rPr>
        <w:t>ent Market View</w:t>
      </w:r>
      <w:r w:rsidR="00E0501A" w:rsidRPr="00E0501A">
        <w:rPr>
          <w:b/>
          <w:bCs/>
          <w:iCs/>
        </w:rPr>
        <w:t xml:space="preserve"> – </w:t>
      </w:r>
      <w:r w:rsidR="009E7EF6" w:rsidRPr="00E0501A">
        <w:rPr>
          <w:b/>
          <w:bCs/>
        </w:rPr>
        <w:t>Domestic View</w:t>
      </w:r>
    </w:p>
    <w:p w14:paraId="72A614DB" w14:textId="50F0086D" w:rsidR="00D658F2" w:rsidRPr="00E0501A" w:rsidRDefault="00D658F2" w:rsidP="00001F8C">
      <w:r w:rsidRPr="00E0501A">
        <w:t xml:space="preserve">The overall </w:t>
      </w:r>
      <w:r w:rsidR="002C2046" w:rsidRPr="00E0501A">
        <w:t xml:space="preserve">investment </w:t>
      </w:r>
      <w:r w:rsidR="00242925" w:rsidRPr="00E0501A">
        <w:t>view</w:t>
      </w:r>
      <w:r w:rsidRPr="00E0501A">
        <w:t xml:space="preserve"> </w:t>
      </w:r>
      <w:r w:rsidR="005A4CB4" w:rsidRPr="00E0501A">
        <w:t xml:space="preserve">for shares </w:t>
      </w:r>
      <w:r w:rsidRPr="00E0501A">
        <w:t>i</w:t>
      </w:r>
      <w:r w:rsidR="000D2EF0" w:rsidRPr="00E0501A">
        <w:t>n the</w:t>
      </w:r>
      <w:r w:rsidRPr="00E0501A">
        <w:t xml:space="preserve"> </w:t>
      </w:r>
      <w:r w:rsidR="00211307" w:rsidRPr="00E0501A">
        <w:t xml:space="preserve">short-term </w:t>
      </w:r>
      <w:r w:rsidR="00CF265D" w:rsidRPr="00E0501A">
        <w:t xml:space="preserve">remains </w:t>
      </w:r>
      <w:r w:rsidR="008116BB" w:rsidRPr="00E0501A">
        <w:rPr>
          <w:b/>
          <w:bCs/>
        </w:rPr>
        <w:t>“</w:t>
      </w:r>
      <w:r w:rsidR="0077020B" w:rsidRPr="00E0501A">
        <w:rPr>
          <w:b/>
          <w:bCs/>
        </w:rPr>
        <w:t>cautiously optimistic</w:t>
      </w:r>
      <w:r w:rsidR="008116BB" w:rsidRPr="00E0501A">
        <w:rPr>
          <w:b/>
          <w:bCs/>
        </w:rPr>
        <w:t>”</w:t>
      </w:r>
      <w:r w:rsidR="005A4CB4" w:rsidRPr="00E0501A">
        <w:t xml:space="preserve"> </w:t>
      </w:r>
      <w:r w:rsidR="0029438A" w:rsidRPr="00E0501A">
        <w:t>and</w:t>
      </w:r>
      <w:r w:rsidR="00C96BC6" w:rsidRPr="00E0501A">
        <w:t xml:space="preserve"> </w:t>
      </w:r>
      <w:r w:rsidR="00877A32" w:rsidRPr="00E0501A">
        <w:rPr>
          <w:b/>
          <w:bCs/>
        </w:rPr>
        <w:t>optimistic</w:t>
      </w:r>
      <w:r w:rsidR="00877A32" w:rsidRPr="00E0501A">
        <w:t xml:space="preserve"> </w:t>
      </w:r>
      <w:r w:rsidR="00745215" w:rsidRPr="00E0501A">
        <w:rPr>
          <w:b/>
          <w:bCs/>
        </w:rPr>
        <w:t>over the long run</w:t>
      </w:r>
      <w:r w:rsidR="009C479B" w:rsidRPr="00E0501A">
        <w:rPr>
          <w:b/>
          <w:bCs/>
        </w:rPr>
        <w:t xml:space="preserve"> </w:t>
      </w:r>
      <w:r w:rsidR="002C2046" w:rsidRPr="00E0501A">
        <w:t xml:space="preserve">as interest </w:t>
      </w:r>
      <w:r w:rsidR="00FC017D" w:rsidRPr="00E0501A">
        <w:t xml:space="preserve">rates </w:t>
      </w:r>
      <w:r w:rsidR="00C5696F" w:rsidRPr="00E0501A">
        <w:t xml:space="preserve">are </w:t>
      </w:r>
      <w:r w:rsidR="00C5696F" w:rsidRPr="00E0501A">
        <w:rPr>
          <w:b/>
          <w:bCs/>
        </w:rPr>
        <w:t xml:space="preserve">expected to </w:t>
      </w:r>
      <w:r w:rsidR="002903A6" w:rsidRPr="00E0501A">
        <w:rPr>
          <w:b/>
          <w:bCs/>
        </w:rPr>
        <w:t>ease</w:t>
      </w:r>
      <w:r w:rsidR="00C96BC6" w:rsidRPr="00E0501A">
        <w:rPr>
          <w:b/>
          <w:bCs/>
        </w:rPr>
        <w:t xml:space="preserve"> </w:t>
      </w:r>
      <w:r w:rsidR="0077020B" w:rsidRPr="00E0501A">
        <w:rPr>
          <w:b/>
          <w:bCs/>
        </w:rPr>
        <w:t xml:space="preserve">in </w:t>
      </w:r>
      <w:r w:rsidR="004916DD" w:rsidRPr="00E0501A">
        <w:rPr>
          <w:b/>
          <w:bCs/>
        </w:rPr>
        <w:t>March</w:t>
      </w:r>
      <w:r w:rsidR="00CF265D" w:rsidRPr="00E0501A">
        <w:rPr>
          <w:b/>
          <w:bCs/>
        </w:rPr>
        <w:t xml:space="preserve"> </w:t>
      </w:r>
      <w:r w:rsidR="0077020B" w:rsidRPr="00E0501A">
        <w:rPr>
          <w:b/>
          <w:bCs/>
        </w:rPr>
        <w:t>202</w:t>
      </w:r>
      <w:r w:rsidR="00F33D40" w:rsidRPr="00E0501A">
        <w:rPr>
          <w:b/>
          <w:bCs/>
        </w:rPr>
        <w:t>5</w:t>
      </w:r>
      <w:r w:rsidR="0077020B" w:rsidRPr="00E0501A">
        <w:t xml:space="preserve"> </w:t>
      </w:r>
      <w:r w:rsidR="00C96BC6" w:rsidRPr="00E0501A">
        <w:t>along with inflation</w:t>
      </w:r>
      <w:r w:rsidR="00745215" w:rsidRPr="00E0501A">
        <w:t xml:space="preserve">. </w:t>
      </w:r>
    </w:p>
    <w:p w14:paraId="584F1152" w14:textId="2D385198" w:rsidR="0077020B" w:rsidRPr="00E0501A" w:rsidRDefault="00854E2E" w:rsidP="00001F8C">
      <w:r w:rsidRPr="00E0501A">
        <w:t>All eyes are on</w:t>
      </w:r>
      <w:r w:rsidR="0077020B" w:rsidRPr="00E0501A">
        <w:t xml:space="preserve"> </w:t>
      </w:r>
      <w:r w:rsidR="00A21943" w:rsidRPr="00E0501A">
        <w:t xml:space="preserve">when the next </w:t>
      </w:r>
      <w:r w:rsidR="007C266B" w:rsidRPr="00E0501A">
        <w:t xml:space="preserve">Australian </w:t>
      </w:r>
      <w:r w:rsidR="00A21943" w:rsidRPr="00E0501A">
        <w:t xml:space="preserve">Federal election will be called and </w:t>
      </w:r>
      <w:r w:rsidR="0077020B" w:rsidRPr="00E0501A">
        <w:t xml:space="preserve">how the State Governments </w:t>
      </w:r>
      <w:r w:rsidR="00A21943" w:rsidRPr="00E0501A">
        <w:t xml:space="preserve">are going to </w:t>
      </w:r>
      <w:r w:rsidR="002214C5" w:rsidRPr="00E0501A">
        <w:t xml:space="preserve">tackle the growing debt burden </w:t>
      </w:r>
      <w:r w:rsidR="0077020B" w:rsidRPr="00E0501A">
        <w:t xml:space="preserve">and the impact on consumer spending. Needless to say: </w:t>
      </w:r>
      <w:r w:rsidR="0077020B" w:rsidRPr="00E0501A">
        <w:rPr>
          <w:b/>
          <w:bCs/>
        </w:rPr>
        <w:t>Higher spending=higher demand=higher prices=higher inflation=higher for longer interest rates.</w:t>
      </w:r>
      <w:r w:rsidR="002214C5" w:rsidRPr="00E0501A">
        <w:rPr>
          <w:b/>
          <w:bCs/>
        </w:rPr>
        <w:t xml:space="preserve"> </w:t>
      </w:r>
      <w:r w:rsidR="002214C5" w:rsidRPr="00E0501A">
        <w:t xml:space="preserve">Both State and Federal debt levels are rising and it is unclear how they are </w:t>
      </w:r>
      <w:r w:rsidR="00A21943" w:rsidRPr="00E0501A">
        <w:t xml:space="preserve">going to </w:t>
      </w:r>
      <w:r w:rsidR="002214C5" w:rsidRPr="00E0501A">
        <w:t xml:space="preserve">reign in this spending. </w:t>
      </w:r>
      <w:r w:rsidR="002214C5" w:rsidRPr="00E0501A">
        <w:rPr>
          <w:b/>
          <w:bCs/>
        </w:rPr>
        <w:t>Government debt is now 43.8</w:t>
      </w:r>
      <w:r w:rsidR="00A21943" w:rsidRPr="00E0501A">
        <w:rPr>
          <w:b/>
          <w:bCs/>
        </w:rPr>
        <w:t>0% of GDP</w:t>
      </w:r>
      <w:r w:rsidR="00A21943" w:rsidRPr="00E0501A">
        <w:t>.</w:t>
      </w:r>
    </w:p>
    <w:p w14:paraId="1B4AEE86" w14:textId="77777777" w:rsidR="009E7EF6" w:rsidRPr="00E0501A"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E0501A">
        <w:rPr>
          <w:rFonts w:asciiTheme="minorHAnsi" w:eastAsiaTheme="minorEastAsia" w:hAnsiTheme="minorHAnsi" w:cstheme="minorBidi"/>
          <w:iCs w:val="0"/>
          <w:caps w:val="0"/>
          <w:color w:val="414042" w:themeColor="text1"/>
          <w:lang w:val="en-AU" w:bidi="ar-SA"/>
        </w:rPr>
        <w:t>Global View</w:t>
      </w:r>
    </w:p>
    <w:p w14:paraId="181A4506" w14:textId="61EB0784" w:rsidR="00A21943" w:rsidRPr="00E0501A" w:rsidRDefault="00FD5867" w:rsidP="00E02932">
      <w:pPr>
        <w:spacing w:before="120" w:after="120"/>
      </w:pPr>
      <w:r w:rsidRPr="00E0501A">
        <w:t>Global</w:t>
      </w:r>
      <w:r w:rsidR="00F11088" w:rsidRPr="00E0501A">
        <w:t xml:space="preserve"> </w:t>
      </w:r>
      <w:r w:rsidR="0077020B" w:rsidRPr="00E0501A">
        <w:t xml:space="preserve">share </w:t>
      </w:r>
      <w:r w:rsidR="002761ED" w:rsidRPr="00E0501A">
        <w:t xml:space="preserve">market </w:t>
      </w:r>
      <w:r w:rsidR="001451A8" w:rsidRPr="00E0501A">
        <w:t xml:space="preserve">returns </w:t>
      </w:r>
      <w:r w:rsidR="00A21943" w:rsidRPr="00E0501A">
        <w:t xml:space="preserve">are supported by the strength of the US economy and the pace of </w:t>
      </w:r>
      <w:r w:rsidR="00242925" w:rsidRPr="00E0501A">
        <w:t>Central Bank easing</w:t>
      </w:r>
      <w:r w:rsidR="00A21943" w:rsidRPr="00E0501A">
        <w:t xml:space="preserve">. The recent </w:t>
      </w:r>
      <w:r w:rsidR="00242925" w:rsidRPr="00E0501A">
        <w:t xml:space="preserve">bond price sell-off post the US Fed decision </w:t>
      </w:r>
      <w:r w:rsidR="00A21943" w:rsidRPr="00E0501A">
        <w:t xml:space="preserve">has unsettled bond investors short-term. The </w:t>
      </w:r>
      <w:r w:rsidR="00D8605F" w:rsidRPr="00E0501A">
        <w:t xml:space="preserve">unemployment data  coming in </w:t>
      </w:r>
      <w:r w:rsidR="00144655" w:rsidRPr="00E0501A">
        <w:t xml:space="preserve">a little </w:t>
      </w:r>
      <w:r w:rsidR="007C266B" w:rsidRPr="00E0501A">
        <w:t>firmer</w:t>
      </w:r>
      <w:r w:rsidR="00144655" w:rsidRPr="00E0501A">
        <w:t xml:space="preserve"> at 4.</w:t>
      </w:r>
      <w:r w:rsidR="007C266B" w:rsidRPr="00E0501A">
        <w:t>1</w:t>
      </w:r>
      <w:r w:rsidR="00144655" w:rsidRPr="00E0501A">
        <w:t xml:space="preserve">% </w:t>
      </w:r>
      <w:r w:rsidR="007C266B" w:rsidRPr="00E0501A">
        <w:t>down</w:t>
      </w:r>
      <w:r w:rsidR="00144655" w:rsidRPr="00E0501A">
        <w:t xml:space="preserve"> from 4.</w:t>
      </w:r>
      <w:r w:rsidR="007C266B" w:rsidRPr="00E0501A">
        <w:t>2</w:t>
      </w:r>
      <w:r w:rsidR="00144655" w:rsidRPr="00E0501A">
        <w:t xml:space="preserve">% in </w:t>
      </w:r>
      <w:r w:rsidR="007C266B" w:rsidRPr="00E0501A">
        <w:t>Dec</w:t>
      </w:r>
      <w:r w:rsidR="00A21943" w:rsidRPr="00E0501A">
        <w:t>e</w:t>
      </w:r>
      <w:r w:rsidR="00144655" w:rsidRPr="00E0501A">
        <w:t>mber 2024</w:t>
      </w:r>
      <w:r w:rsidR="00A21943" w:rsidRPr="00E0501A">
        <w:t xml:space="preserve"> </w:t>
      </w:r>
      <w:r w:rsidR="007C266B" w:rsidRPr="00E0501A">
        <w:t xml:space="preserve">does not </w:t>
      </w:r>
      <w:r w:rsidR="00A21943" w:rsidRPr="00E0501A">
        <w:t>help with any monetary policy easing that may be considered by the Fed.</w:t>
      </w:r>
    </w:p>
    <w:p w14:paraId="670F5E44" w14:textId="5C6D4C4B" w:rsidR="009B38B3" w:rsidRPr="00E0501A" w:rsidRDefault="00CC3247" w:rsidP="00E02932">
      <w:pPr>
        <w:spacing w:before="120" w:after="120"/>
        <w:rPr>
          <w:rFonts w:ascii="Calibri" w:hAnsi="Calibri" w:cs="Calibri"/>
          <w:sz w:val="24"/>
          <w:szCs w:val="24"/>
          <w:shd w:val="clear" w:color="auto" w:fill="FFFFFF"/>
        </w:rPr>
      </w:pPr>
      <w:r w:rsidRPr="00E0501A">
        <w:t xml:space="preserve">Despite the </w:t>
      </w:r>
      <w:r w:rsidR="007B07C4" w:rsidRPr="00E0501A">
        <w:t xml:space="preserve">uncertain </w:t>
      </w:r>
      <w:r w:rsidR="0002488F" w:rsidRPr="00E0501A">
        <w:t>geo</w:t>
      </w:r>
      <w:r w:rsidR="00BF72F5" w:rsidRPr="00E0501A">
        <w:t xml:space="preserve">political situation </w:t>
      </w:r>
      <w:r w:rsidR="00B11817" w:rsidRPr="00E0501A">
        <w:t>with the</w:t>
      </w:r>
      <w:r w:rsidR="003654CD" w:rsidRPr="00E0501A">
        <w:t xml:space="preserve"> </w:t>
      </w:r>
      <w:r w:rsidR="006B19AD" w:rsidRPr="00E0501A">
        <w:t>Russia</w:t>
      </w:r>
      <w:r w:rsidR="009708AD" w:rsidRPr="00E0501A">
        <w:t>-</w:t>
      </w:r>
      <w:r w:rsidR="006B19AD" w:rsidRPr="00E0501A">
        <w:t>Ukraine</w:t>
      </w:r>
      <w:r w:rsidR="009708AD" w:rsidRPr="00E0501A">
        <w:t>, Israel-H</w:t>
      </w:r>
      <w:r w:rsidR="009B38B3" w:rsidRPr="00E0501A">
        <w:t>a</w:t>
      </w:r>
      <w:r w:rsidR="009708AD" w:rsidRPr="00E0501A">
        <w:t>mas</w:t>
      </w:r>
      <w:r w:rsidR="006277A4" w:rsidRPr="00E0501A">
        <w:t xml:space="preserve">, Hezbollah and </w:t>
      </w:r>
      <w:r w:rsidR="006B19AD" w:rsidRPr="00E0501A">
        <w:t xml:space="preserve"> </w:t>
      </w:r>
      <w:r w:rsidR="006277A4" w:rsidRPr="00E0501A">
        <w:t xml:space="preserve">Houthi </w:t>
      </w:r>
      <w:r w:rsidR="009B38B3" w:rsidRPr="00E0501A">
        <w:t>conflict,</w:t>
      </w:r>
      <w:r w:rsidR="006B19AD" w:rsidRPr="00E0501A">
        <w:t xml:space="preserve"> and </w:t>
      </w:r>
      <w:r w:rsidR="002903A6" w:rsidRPr="00E0501A">
        <w:t xml:space="preserve">economic slowdown </w:t>
      </w:r>
      <w:r w:rsidR="00BF72F5" w:rsidRPr="00E0501A">
        <w:t xml:space="preserve">concerns, </w:t>
      </w:r>
      <w:r w:rsidRPr="00E0501A">
        <w:t xml:space="preserve">we </w:t>
      </w:r>
      <w:r w:rsidR="00090E25" w:rsidRPr="00E0501A">
        <w:t xml:space="preserve">expect the </w:t>
      </w:r>
      <w:r w:rsidR="007B07C4" w:rsidRPr="00E0501A">
        <w:rPr>
          <w:b/>
          <w:bCs/>
        </w:rPr>
        <w:t xml:space="preserve">medium-term </w:t>
      </w:r>
      <w:r w:rsidRPr="00E0501A">
        <w:rPr>
          <w:b/>
          <w:bCs/>
        </w:rPr>
        <w:t>outlook</w:t>
      </w:r>
      <w:r w:rsidR="00090E25" w:rsidRPr="00E0501A">
        <w:rPr>
          <w:b/>
          <w:bCs/>
        </w:rPr>
        <w:t xml:space="preserve"> to reflect </w:t>
      </w:r>
      <w:r w:rsidR="00885792" w:rsidRPr="00E0501A">
        <w:rPr>
          <w:b/>
          <w:bCs/>
        </w:rPr>
        <w:t>reasonable</w:t>
      </w:r>
      <w:r w:rsidR="00090E25" w:rsidRPr="00E0501A">
        <w:rPr>
          <w:b/>
          <w:bCs/>
        </w:rPr>
        <w:t xml:space="preserve"> opportunities for investors</w:t>
      </w:r>
      <w:r w:rsidR="00090E25" w:rsidRPr="00E0501A">
        <w:t xml:space="preserve">. </w:t>
      </w:r>
      <w:r w:rsidR="006277A4" w:rsidRPr="00E0501A">
        <w:t>Post the US election, s</w:t>
      </w:r>
      <w:r w:rsidR="007B07C4" w:rsidRPr="00E0501A">
        <w:t xml:space="preserve">hort-term, </w:t>
      </w:r>
      <w:r w:rsidR="007633F4" w:rsidRPr="00E0501A">
        <w:t xml:space="preserve">we </w:t>
      </w:r>
      <w:r w:rsidR="007B07C4" w:rsidRPr="00E0501A">
        <w:t xml:space="preserve">expect </w:t>
      </w:r>
      <w:r w:rsidR="00C5696F" w:rsidRPr="00E0501A">
        <w:t>Q</w:t>
      </w:r>
      <w:r w:rsidR="00C00E8F" w:rsidRPr="00E0501A">
        <w:t>4</w:t>
      </w:r>
      <w:r w:rsidR="00C5696F" w:rsidRPr="00E0501A">
        <w:t xml:space="preserve"> </w:t>
      </w:r>
      <w:r w:rsidR="002903A6" w:rsidRPr="00E0501A">
        <w:t xml:space="preserve">to reflect </w:t>
      </w:r>
      <w:r w:rsidR="006277A4" w:rsidRPr="00E0501A">
        <w:t>cyclical factors</w:t>
      </w:r>
      <w:r w:rsidR="00885792" w:rsidRPr="00E0501A">
        <w:t xml:space="preserve"> (festive season spending)</w:t>
      </w:r>
      <w:r w:rsidR="006277A4" w:rsidRPr="00E0501A">
        <w:t xml:space="preserve">, </w:t>
      </w:r>
      <w:r w:rsidR="00C00E8F" w:rsidRPr="00E0501A">
        <w:t>improving</w:t>
      </w:r>
      <w:r w:rsidR="00C465D1" w:rsidRPr="00E0501A">
        <w:t xml:space="preserve"> </w:t>
      </w:r>
      <w:r w:rsidR="00C5696F" w:rsidRPr="00E0501A">
        <w:t xml:space="preserve">company results plus </w:t>
      </w:r>
      <w:r w:rsidR="00C465D1" w:rsidRPr="00E0501A">
        <w:t>c</w:t>
      </w:r>
      <w:r w:rsidR="00C00E8F" w:rsidRPr="00E0501A">
        <w:t>onservative</w:t>
      </w:r>
      <w:r w:rsidR="00C465D1" w:rsidRPr="00E0501A">
        <w:t xml:space="preserve"> </w:t>
      </w:r>
      <w:r w:rsidR="00885792" w:rsidRPr="00E0501A">
        <w:t xml:space="preserve">company </w:t>
      </w:r>
      <w:r w:rsidR="00C5696F" w:rsidRPr="00E0501A">
        <w:t>forward guidance</w:t>
      </w:r>
      <w:r w:rsidR="00885792" w:rsidRPr="00E0501A">
        <w:t>,</w:t>
      </w:r>
      <w:r w:rsidR="00C465D1" w:rsidRPr="00E0501A">
        <w:t xml:space="preserve"> </w:t>
      </w:r>
      <w:r w:rsidR="00C00E8F" w:rsidRPr="00E0501A">
        <w:t xml:space="preserve">will </w:t>
      </w:r>
      <w:r w:rsidR="00C465D1" w:rsidRPr="00E0501A">
        <w:t>help support</w:t>
      </w:r>
      <w:r w:rsidR="00C5696F" w:rsidRPr="00E0501A">
        <w:t xml:space="preserve"> </w:t>
      </w:r>
      <w:r w:rsidR="00600EF9" w:rsidRPr="00E0501A">
        <w:t>investor appetite as interest rates search for equilibrium</w:t>
      </w:r>
      <w:r w:rsidR="002761ED" w:rsidRPr="00E0501A">
        <w:t xml:space="preserve"> </w:t>
      </w:r>
      <w:r w:rsidR="00885792" w:rsidRPr="00E0501A">
        <w:t xml:space="preserve">somewhere </w:t>
      </w:r>
      <w:r w:rsidR="002761ED" w:rsidRPr="00E0501A">
        <w:t>between the current supply and demand for capital</w:t>
      </w:r>
      <w:r w:rsidR="00C00E8F" w:rsidRPr="00E0501A">
        <w:t>.</w:t>
      </w:r>
      <w:r w:rsidR="00005474" w:rsidRPr="00E0501A">
        <w:rPr>
          <w:rFonts w:ascii="Calibri" w:hAnsi="Calibri" w:cs="Calibri"/>
          <w:sz w:val="24"/>
          <w:szCs w:val="24"/>
          <w:shd w:val="clear" w:color="auto" w:fill="FFFFFF"/>
        </w:rPr>
        <w:t xml:space="preserve"> </w:t>
      </w:r>
    </w:p>
    <w:p w14:paraId="746B3093" w14:textId="22FABC60" w:rsidR="00476B80" w:rsidRPr="00E0501A" w:rsidRDefault="00FA2956" w:rsidP="004273DE">
      <w:pPr>
        <w:spacing w:before="120" w:after="120"/>
        <w:rPr>
          <w:b/>
          <w:bCs/>
        </w:rPr>
      </w:pPr>
      <w:r w:rsidRPr="00E0501A">
        <w:rPr>
          <w:b/>
          <w:bCs/>
        </w:rPr>
        <w:t>Where to From Here?</w:t>
      </w:r>
    </w:p>
    <w:p w14:paraId="3208B238" w14:textId="77777777" w:rsidR="002761ED" w:rsidRPr="00E0501A" w:rsidRDefault="00FA2956" w:rsidP="004273DE">
      <w:pPr>
        <w:spacing w:before="120" w:after="120"/>
      </w:pPr>
      <w:r w:rsidRPr="00E0501A">
        <w:rPr>
          <w:b/>
          <w:bCs/>
        </w:rPr>
        <w:lastRenderedPageBreak/>
        <w:t>For Australia</w:t>
      </w:r>
      <w:r w:rsidRPr="00E0501A">
        <w:t xml:space="preserve">, </w:t>
      </w:r>
      <w:r w:rsidR="002761ED" w:rsidRPr="00E0501A">
        <w:t xml:space="preserve"> a </w:t>
      </w:r>
      <w:r w:rsidR="002761ED" w:rsidRPr="00E0501A">
        <w:rPr>
          <w:b/>
          <w:bCs/>
        </w:rPr>
        <w:t>soft landing is still on the cards</w:t>
      </w:r>
      <w:r w:rsidR="002761ED" w:rsidRPr="00E0501A">
        <w:t xml:space="preserve">. Markets take the lead from </w:t>
      </w:r>
      <w:r w:rsidR="00B52912" w:rsidRPr="00E0501A">
        <w:t xml:space="preserve">what is happening in the </w:t>
      </w:r>
      <w:r w:rsidR="00931211" w:rsidRPr="00E0501A">
        <w:t xml:space="preserve">global markets </w:t>
      </w:r>
      <w:r w:rsidR="002761ED" w:rsidRPr="00E0501A">
        <w:t>as this</w:t>
      </w:r>
      <w:r w:rsidR="0002488F" w:rsidRPr="00E0501A">
        <w:t xml:space="preserve"> </w:t>
      </w:r>
      <w:r w:rsidR="00A82292" w:rsidRPr="00E0501A">
        <w:t>directly impact</w:t>
      </w:r>
      <w:r w:rsidR="002761ED" w:rsidRPr="00E0501A">
        <w:t>s</w:t>
      </w:r>
      <w:r w:rsidR="00A82292" w:rsidRPr="00E0501A">
        <w:t xml:space="preserve"> our markets </w:t>
      </w:r>
      <w:r w:rsidR="002761ED" w:rsidRPr="00E0501A">
        <w:t>given</w:t>
      </w:r>
      <w:r w:rsidR="00A82292" w:rsidRPr="00E0501A">
        <w:t xml:space="preserve"> </w:t>
      </w:r>
      <w:r w:rsidR="00457450" w:rsidRPr="00E0501A">
        <w:t xml:space="preserve">there is </w:t>
      </w:r>
      <w:r w:rsidR="0002488F" w:rsidRPr="00E0501A">
        <w:t>align</w:t>
      </w:r>
      <w:r w:rsidR="00457450" w:rsidRPr="00E0501A">
        <w:t>ment</w:t>
      </w:r>
      <w:r w:rsidR="0002488F" w:rsidRPr="00E0501A">
        <w:t xml:space="preserve"> in trade terms </w:t>
      </w:r>
      <w:r w:rsidR="00931211" w:rsidRPr="00E0501A">
        <w:t xml:space="preserve">but the fallout </w:t>
      </w:r>
      <w:r w:rsidR="00A82292" w:rsidRPr="00E0501A">
        <w:t xml:space="preserve">remains </w:t>
      </w:r>
      <w:r w:rsidR="00931211" w:rsidRPr="00E0501A">
        <w:t xml:space="preserve">mitigated given our </w:t>
      </w:r>
      <w:r w:rsidR="00005474" w:rsidRPr="00E0501A">
        <w:t xml:space="preserve">immigration, </w:t>
      </w:r>
      <w:r w:rsidR="00931211" w:rsidRPr="00E0501A">
        <w:t xml:space="preserve">agricultural and resource assets. </w:t>
      </w:r>
    </w:p>
    <w:p w14:paraId="2DD8849D" w14:textId="1CB94DC0" w:rsidR="009E17E6" w:rsidRPr="00E0501A" w:rsidRDefault="009E17E6" w:rsidP="004273DE">
      <w:pPr>
        <w:spacing w:before="120" w:after="120"/>
      </w:pPr>
      <w:r w:rsidRPr="00E0501A">
        <w:t xml:space="preserve">At this time in the business cycle, the festive season will result in markets drifting with bouts of volatility as the </w:t>
      </w:r>
      <w:r w:rsidR="00B23D9F" w:rsidRPr="00E0501A">
        <w:t>bulk of</w:t>
      </w:r>
      <w:r w:rsidRPr="00E0501A">
        <w:t xml:space="preserve"> investors take a break. Thin markets will mean </w:t>
      </w:r>
      <w:r w:rsidRPr="00E0501A">
        <w:rPr>
          <w:b/>
          <w:bCs/>
        </w:rPr>
        <w:t>share prices may not accurately reflect the underlying fundamentals</w:t>
      </w:r>
      <w:r w:rsidRPr="00E0501A">
        <w:t xml:space="preserve"> so be mindful of these times when making changes to your portfolio.</w:t>
      </w:r>
    </w:p>
    <w:p w14:paraId="6BF46611" w14:textId="0299D529" w:rsidR="00DC3092" w:rsidRPr="00E0501A" w:rsidRDefault="00A81BD3" w:rsidP="004273DE">
      <w:pPr>
        <w:spacing w:before="120" w:after="120"/>
      </w:pPr>
      <w:r w:rsidRPr="00E0501A">
        <w:t xml:space="preserve">All eyes focussed on </w:t>
      </w:r>
      <w:r w:rsidR="00DC3092" w:rsidRPr="00E0501A">
        <w:t>the</w:t>
      </w:r>
      <w:r w:rsidR="00DC3092" w:rsidRPr="00E0501A">
        <w:rPr>
          <w:b/>
          <w:bCs/>
        </w:rPr>
        <w:t xml:space="preserve"> Middle East political unrest. </w:t>
      </w:r>
      <w:r w:rsidR="009F26B6" w:rsidRPr="00E0501A">
        <w:t>Let us</w:t>
      </w:r>
      <w:r w:rsidR="00DC3092" w:rsidRPr="00E0501A">
        <w:t xml:space="preserve"> hope the situation </w:t>
      </w:r>
      <w:r w:rsidR="009F26B6" w:rsidRPr="00E0501A">
        <w:t>will be</w:t>
      </w:r>
      <w:r w:rsidR="00DC3092" w:rsidRPr="00E0501A">
        <w:t xml:space="preserve"> contained and a solution that ceases further aggression and violence is forthcoming.</w:t>
      </w:r>
    </w:p>
    <w:p w14:paraId="554EA2E1" w14:textId="3C32CC6D" w:rsidR="00D06704" w:rsidRPr="00E0501A" w:rsidRDefault="002761ED" w:rsidP="009E7EF6">
      <w:r w:rsidRPr="00E0501A">
        <w:rPr>
          <w:b/>
          <w:bCs/>
        </w:rPr>
        <w:t>Global m</w:t>
      </w:r>
      <w:r w:rsidR="004A734E" w:rsidRPr="00E0501A">
        <w:rPr>
          <w:b/>
          <w:bCs/>
        </w:rPr>
        <w:t>arkets</w:t>
      </w:r>
      <w:r w:rsidR="004A734E" w:rsidRPr="00E0501A">
        <w:t xml:space="preserve"> have </w:t>
      </w:r>
      <w:r w:rsidR="00B52912" w:rsidRPr="00E0501A">
        <w:t xml:space="preserve">already </w:t>
      </w:r>
      <w:r w:rsidR="00A013B5" w:rsidRPr="00E0501A">
        <w:t>weathered tough conditions</w:t>
      </w:r>
      <w:r w:rsidR="004A734E" w:rsidRPr="00E0501A">
        <w:t xml:space="preserve"> </w:t>
      </w:r>
      <w:r w:rsidR="00005474" w:rsidRPr="00E0501A">
        <w:t>over 2023</w:t>
      </w:r>
      <w:r w:rsidR="007D1BED" w:rsidRPr="00E0501A">
        <w:t>/24</w:t>
      </w:r>
      <w:r w:rsidR="00005474" w:rsidRPr="00E0501A">
        <w:t xml:space="preserve"> </w:t>
      </w:r>
      <w:r w:rsidR="004A734E" w:rsidRPr="00E0501A">
        <w:t xml:space="preserve">and </w:t>
      </w:r>
      <w:r w:rsidR="00005474" w:rsidRPr="00E0501A">
        <w:t xml:space="preserve">now </w:t>
      </w:r>
      <w:r w:rsidR="00B52912" w:rsidRPr="00E0501A">
        <w:t xml:space="preserve">there is </w:t>
      </w:r>
      <w:r w:rsidR="004A734E" w:rsidRPr="00E0501A">
        <w:t xml:space="preserve">economic evidence pointing to a potential </w:t>
      </w:r>
      <w:r w:rsidR="007D1BED" w:rsidRPr="00E0501A">
        <w:rPr>
          <w:b/>
          <w:bCs/>
        </w:rPr>
        <w:t>soft landing</w:t>
      </w:r>
      <w:r w:rsidR="007D1BED" w:rsidRPr="00E0501A">
        <w:t xml:space="preserve"> rather than a mild recession</w:t>
      </w:r>
      <w:r w:rsidR="00B52912" w:rsidRPr="00E0501A">
        <w:t xml:space="preserve"> </w:t>
      </w:r>
      <w:r w:rsidR="0002488F" w:rsidRPr="00E0501A">
        <w:t xml:space="preserve">in the US and </w:t>
      </w:r>
      <w:r w:rsidR="00BD7F87" w:rsidRPr="00E0501A">
        <w:t xml:space="preserve">eventually </w:t>
      </w:r>
      <w:r w:rsidR="0002488F" w:rsidRPr="00E0501A">
        <w:t xml:space="preserve">Europe </w:t>
      </w:r>
      <w:r w:rsidR="007F4AD0" w:rsidRPr="00E0501A">
        <w:t>down the track</w:t>
      </w:r>
      <w:r w:rsidR="00005474" w:rsidRPr="00E0501A">
        <w:t xml:space="preserve">. </w:t>
      </w:r>
    </w:p>
    <w:p w14:paraId="3ED46007" w14:textId="69B0D331" w:rsidR="00BD7F87" w:rsidRPr="00E0501A" w:rsidRDefault="00BD7F87" w:rsidP="009E7EF6">
      <w:r w:rsidRPr="00E0501A">
        <w:t xml:space="preserve">The </w:t>
      </w:r>
      <w:r w:rsidRPr="00E0501A">
        <w:rPr>
          <w:b/>
          <w:bCs/>
        </w:rPr>
        <w:t>political unrest</w:t>
      </w:r>
      <w:r w:rsidRPr="00E0501A">
        <w:t xml:space="preserve"> is a concern for global growth prospects with conflict being experienced in several countries around the world. We hope in each situation, a peaceful solution can be reached and any violence avoided. </w:t>
      </w:r>
    </w:p>
    <w:p w14:paraId="67B2D452" w14:textId="19B9DFF5" w:rsidR="004B17FB" w:rsidRPr="00E0501A" w:rsidRDefault="00005474" w:rsidP="009E7EF6">
      <w:r w:rsidRPr="00E0501A">
        <w:rPr>
          <w:b/>
          <w:bCs/>
        </w:rPr>
        <w:t>M</w:t>
      </w:r>
      <w:r w:rsidR="004A734E" w:rsidRPr="00E0501A">
        <w:rPr>
          <w:b/>
          <w:bCs/>
        </w:rPr>
        <w:t>arkets are forward looking</w:t>
      </w:r>
      <w:r w:rsidR="004A734E" w:rsidRPr="00E0501A">
        <w:t xml:space="preserve">, so </w:t>
      </w:r>
      <w:r w:rsidR="00F43A7D" w:rsidRPr="00E0501A">
        <w:t>it is</w:t>
      </w:r>
      <w:r w:rsidR="004A734E" w:rsidRPr="00E0501A">
        <w:t xml:space="preserve"> likely they </w:t>
      </w:r>
      <w:r w:rsidRPr="00E0501A">
        <w:t>have</w:t>
      </w:r>
      <w:r w:rsidR="004A734E" w:rsidRPr="00E0501A">
        <w:t xml:space="preserve"> </w:t>
      </w:r>
      <w:r w:rsidRPr="00E0501A">
        <w:rPr>
          <w:b/>
          <w:bCs/>
        </w:rPr>
        <w:t>found</w:t>
      </w:r>
      <w:r w:rsidR="00B52912" w:rsidRPr="00E0501A">
        <w:rPr>
          <w:b/>
          <w:bCs/>
        </w:rPr>
        <w:t xml:space="preserve"> a bottom </w:t>
      </w:r>
      <w:r w:rsidR="004A734E" w:rsidRPr="00E0501A">
        <w:rPr>
          <w:b/>
          <w:bCs/>
        </w:rPr>
        <w:t xml:space="preserve">and </w:t>
      </w:r>
      <w:r w:rsidR="00DF2504" w:rsidRPr="00E0501A">
        <w:rPr>
          <w:b/>
          <w:bCs/>
        </w:rPr>
        <w:t xml:space="preserve">now seeing a clearer picture of what lies ahead. </w:t>
      </w:r>
      <w:r w:rsidR="00EF6467" w:rsidRPr="00E0501A">
        <w:t>We</w:t>
      </w:r>
      <w:r w:rsidR="00F1304B" w:rsidRPr="00E0501A">
        <w:t xml:space="preserve"> </w:t>
      </w:r>
      <w:r w:rsidRPr="00E0501A">
        <w:t xml:space="preserve">suspect we </w:t>
      </w:r>
      <w:r w:rsidR="00F1304B" w:rsidRPr="00E0501A">
        <w:t>have</w:t>
      </w:r>
      <w:r w:rsidR="00EF6467" w:rsidRPr="00E0501A">
        <w:t xml:space="preserve"> just</w:t>
      </w:r>
      <w:r w:rsidR="00F1304B" w:rsidRPr="00E0501A">
        <w:t xml:space="preserve"> seen the start of that recovery process</w:t>
      </w:r>
      <w:r w:rsidR="00067753" w:rsidRPr="00E0501A">
        <w:t xml:space="preserve"> and </w:t>
      </w:r>
      <w:r w:rsidR="00067753" w:rsidRPr="00E0501A">
        <w:rPr>
          <w:b/>
          <w:bCs/>
        </w:rPr>
        <w:t>the recent volatility is simply the ebb and flow of markets</w:t>
      </w:r>
      <w:r w:rsidR="00067753" w:rsidRPr="00E0501A">
        <w:t>.</w:t>
      </w:r>
    </w:p>
    <w:p w14:paraId="485625AC" w14:textId="32492DDB" w:rsidR="00DA7237" w:rsidRPr="00E0501A" w:rsidRDefault="00B52912" w:rsidP="006E0DCD">
      <w:r w:rsidRPr="00E0501A">
        <w:t xml:space="preserve">Fingers crossed </w:t>
      </w:r>
      <w:r w:rsidR="004A1535" w:rsidRPr="00E0501A">
        <w:t xml:space="preserve">monetary policy </w:t>
      </w:r>
      <w:r w:rsidR="00412A09" w:rsidRPr="00E0501A">
        <w:t xml:space="preserve">direction </w:t>
      </w:r>
      <w:r w:rsidR="00513CA7" w:rsidRPr="00E0501A">
        <w:t xml:space="preserve">remains </w:t>
      </w:r>
      <w:r w:rsidR="00DF2504" w:rsidRPr="00E0501A">
        <w:t xml:space="preserve">accommodative and </w:t>
      </w:r>
      <w:r w:rsidR="00513CA7" w:rsidRPr="00E0501A">
        <w:t xml:space="preserve">trending towards </w:t>
      </w:r>
      <w:r w:rsidR="00DF2504" w:rsidRPr="00E0501A">
        <w:t>further</w:t>
      </w:r>
      <w:r w:rsidR="00513CA7" w:rsidRPr="00E0501A">
        <w:t xml:space="preserve"> easing in the months ahead which hopefully, </w:t>
      </w:r>
      <w:r w:rsidR="00CB75C6" w:rsidRPr="00E0501A">
        <w:t xml:space="preserve">will lead to </w:t>
      </w:r>
      <w:r w:rsidR="004A1535" w:rsidRPr="00E0501A">
        <w:t xml:space="preserve">a </w:t>
      </w:r>
      <w:r w:rsidR="00733FAC" w:rsidRPr="00E0501A">
        <w:t xml:space="preserve">moderation in prices </w:t>
      </w:r>
      <w:r w:rsidR="00CB75C6" w:rsidRPr="00E0501A">
        <w:t xml:space="preserve">and </w:t>
      </w:r>
      <w:r w:rsidR="00922434" w:rsidRPr="00E0501A">
        <w:t xml:space="preserve">the start of </w:t>
      </w:r>
      <w:r w:rsidR="00733FAC" w:rsidRPr="00E0501A">
        <w:t xml:space="preserve">a more stable </w:t>
      </w:r>
      <w:r w:rsidR="00D06704" w:rsidRPr="00E0501A">
        <w:t xml:space="preserve">global </w:t>
      </w:r>
      <w:r w:rsidR="00CB75C6" w:rsidRPr="00E0501A">
        <w:t xml:space="preserve">growth </w:t>
      </w:r>
      <w:r w:rsidR="00733FAC" w:rsidRPr="00E0501A">
        <w:t>platform</w:t>
      </w:r>
      <w:r w:rsidR="004B17FB" w:rsidRPr="00E0501A">
        <w:t>.</w:t>
      </w:r>
      <w:r w:rsidR="00CB75C6" w:rsidRPr="00E0501A">
        <w:t xml:space="preserve"> </w:t>
      </w:r>
    </w:p>
    <w:p w14:paraId="277A5B59" w14:textId="77777777" w:rsidR="00237BF2" w:rsidRPr="00E0501A" w:rsidRDefault="00237BF2" w:rsidP="0090611C">
      <w:pPr>
        <w:rPr>
          <w:b/>
          <w:bCs/>
        </w:rPr>
      </w:pPr>
    </w:p>
    <w:p w14:paraId="20A62BEF" w14:textId="7E9C044C" w:rsidR="009E7EF6" w:rsidRPr="00E0501A" w:rsidRDefault="009E7EF6" w:rsidP="0090611C">
      <w:pPr>
        <w:rPr>
          <w:b/>
          <w:bCs/>
        </w:rPr>
      </w:pPr>
      <w:r w:rsidRPr="00E0501A">
        <w:rPr>
          <w:b/>
          <w:bCs/>
        </w:rPr>
        <w:t>Footnote</w:t>
      </w:r>
    </w:p>
    <w:p w14:paraId="458C9861" w14:textId="0BFF12E0" w:rsidR="00DE74A4" w:rsidRPr="00E0501A" w:rsidRDefault="009E7EF6" w:rsidP="00421DFB">
      <w:r w:rsidRPr="00E0501A">
        <w:rPr>
          <w:sz w:val="18"/>
        </w:rPr>
        <w:t xml:space="preserve">This market update written by Graham Fox for and on behalf of HNW Planning on </w:t>
      </w:r>
      <w:r w:rsidR="004A1535" w:rsidRPr="00E0501A">
        <w:rPr>
          <w:sz w:val="18"/>
        </w:rPr>
        <w:t>1</w:t>
      </w:r>
      <w:r w:rsidR="00BD7F87" w:rsidRPr="00E0501A">
        <w:rPr>
          <w:sz w:val="18"/>
        </w:rPr>
        <w:t>7</w:t>
      </w:r>
      <w:r w:rsidRPr="00E0501A">
        <w:rPr>
          <w:sz w:val="18"/>
        </w:rPr>
        <w:t>/</w:t>
      </w:r>
      <w:r w:rsidR="00DD4708" w:rsidRPr="00E0501A">
        <w:rPr>
          <w:sz w:val="18"/>
        </w:rPr>
        <w:t>01</w:t>
      </w:r>
      <w:r w:rsidRPr="00E0501A">
        <w:rPr>
          <w:sz w:val="18"/>
        </w:rPr>
        <w:t>/20</w:t>
      </w:r>
      <w:r w:rsidR="00E37E86" w:rsidRPr="00E0501A">
        <w:rPr>
          <w:sz w:val="18"/>
        </w:rPr>
        <w:t>2</w:t>
      </w:r>
      <w:r w:rsidR="00DD4708" w:rsidRPr="00E0501A">
        <w:rPr>
          <w:sz w:val="18"/>
        </w:rPr>
        <w:t>5</w:t>
      </w:r>
      <w:r w:rsidRPr="00E0501A">
        <w:rPr>
          <w:sz w:val="18"/>
        </w:rPr>
        <w:t>. Graham Fox is a</w:t>
      </w:r>
      <w:r w:rsidR="0057013D" w:rsidRPr="00E0501A">
        <w:rPr>
          <w:sz w:val="18"/>
        </w:rPr>
        <w:t xml:space="preserve">n external asset consultant </w:t>
      </w:r>
      <w:r w:rsidRPr="00E0501A">
        <w:rPr>
          <w:sz w:val="18"/>
        </w:rPr>
        <w:t xml:space="preserve">and </w:t>
      </w:r>
      <w:r w:rsidR="0057013D" w:rsidRPr="00E0501A">
        <w:rPr>
          <w:sz w:val="18"/>
        </w:rPr>
        <w:t xml:space="preserve">consults to the HNW Investment Committee. Graham </w:t>
      </w:r>
      <w:r w:rsidRPr="00E0501A">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E0501A" w:rsidSect="00E0501A">
      <w:footerReference w:type="default" r:id="rId20"/>
      <w:pgSz w:w="11906" w:h="16838" w:code="9"/>
      <w:pgMar w:top="2552"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9A5B9" w14:textId="77777777" w:rsidR="00F944C6" w:rsidRDefault="00F944C6" w:rsidP="00EB28A8">
      <w:pPr>
        <w:spacing w:after="0" w:line="240" w:lineRule="auto"/>
      </w:pPr>
      <w:r>
        <w:separator/>
      </w:r>
    </w:p>
  </w:endnote>
  <w:endnote w:type="continuationSeparator" w:id="0">
    <w:p w14:paraId="352C33B7" w14:textId="77777777" w:rsidR="00F944C6" w:rsidRDefault="00F944C6"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7AB6D" w14:textId="77777777" w:rsidR="00F944C6" w:rsidRDefault="00F944C6" w:rsidP="00EB28A8">
      <w:pPr>
        <w:spacing w:after="0" w:line="240" w:lineRule="auto"/>
      </w:pPr>
      <w:r>
        <w:separator/>
      </w:r>
    </w:p>
  </w:footnote>
  <w:footnote w:type="continuationSeparator" w:id="0">
    <w:p w14:paraId="66934226" w14:textId="77777777" w:rsidR="00F944C6" w:rsidRDefault="00F944C6"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96608F"/>
    <w:multiLevelType w:val="hybridMultilevel"/>
    <w:tmpl w:val="125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26C13"/>
    <w:multiLevelType w:val="hybridMultilevel"/>
    <w:tmpl w:val="B13A6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8160214">
    <w:abstractNumId w:val="6"/>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7"/>
  </w:num>
  <w:num w:numId="8" w16cid:durableId="1542089249">
    <w:abstractNumId w:val="8"/>
  </w:num>
  <w:num w:numId="9" w16cid:durableId="5621821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35C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1762"/>
    <w:rsid w:val="00042755"/>
    <w:rsid w:val="0004442A"/>
    <w:rsid w:val="00045650"/>
    <w:rsid w:val="000458E9"/>
    <w:rsid w:val="00046301"/>
    <w:rsid w:val="00046589"/>
    <w:rsid w:val="00046840"/>
    <w:rsid w:val="00050628"/>
    <w:rsid w:val="0005073D"/>
    <w:rsid w:val="00051004"/>
    <w:rsid w:val="00051451"/>
    <w:rsid w:val="000530FF"/>
    <w:rsid w:val="00053887"/>
    <w:rsid w:val="00054BDB"/>
    <w:rsid w:val="000558CB"/>
    <w:rsid w:val="00055F78"/>
    <w:rsid w:val="000566FA"/>
    <w:rsid w:val="0005674F"/>
    <w:rsid w:val="00056D53"/>
    <w:rsid w:val="0005797F"/>
    <w:rsid w:val="00060AB6"/>
    <w:rsid w:val="00061657"/>
    <w:rsid w:val="00062337"/>
    <w:rsid w:val="00063F3C"/>
    <w:rsid w:val="00066C19"/>
    <w:rsid w:val="00066E8A"/>
    <w:rsid w:val="00067753"/>
    <w:rsid w:val="000678F3"/>
    <w:rsid w:val="00071486"/>
    <w:rsid w:val="00072B77"/>
    <w:rsid w:val="000732F1"/>
    <w:rsid w:val="00074A1A"/>
    <w:rsid w:val="00076007"/>
    <w:rsid w:val="000764FC"/>
    <w:rsid w:val="00077B36"/>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1A15"/>
    <w:rsid w:val="000A26DE"/>
    <w:rsid w:val="000A36E7"/>
    <w:rsid w:val="000A3B2A"/>
    <w:rsid w:val="000A5F08"/>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5CE"/>
    <w:rsid w:val="000F7783"/>
    <w:rsid w:val="000F7BDA"/>
    <w:rsid w:val="0010043C"/>
    <w:rsid w:val="00102BB6"/>
    <w:rsid w:val="00102E4C"/>
    <w:rsid w:val="0010573F"/>
    <w:rsid w:val="00105BCC"/>
    <w:rsid w:val="00105FA6"/>
    <w:rsid w:val="001066CC"/>
    <w:rsid w:val="00107049"/>
    <w:rsid w:val="001073CA"/>
    <w:rsid w:val="00107972"/>
    <w:rsid w:val="00107D5C"/>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1EB9"/>
    <w:rsid w:val="001357C3"/>
    <w:rsid w:val="00136204"/>
    <w:rsid w:val="00136F68"/>
    <w:rsid w:val="00137324"/>
    <w:rsid w:val="001405F3"/>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1550"/>
    <w:rsid w:val="00172116"/>
    <w:rsid w:val="00172387"/>
    <w:rsid w:val="001727F2"/>
    <w:rsid w:val="00173FB8"/>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1CE"/>
    <w:rsid w:val="001928CD"/>
    <w:rsid w:val="001931DC"/>
    <w:rsid w:val="00193344"/>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379"/>
    <w:rsid w:val="001B3923"/>
    <w:rsid w:val="001B6CB4"/>
    <w:rsid w:val="001B6DA8"/>
    <w:rsid w:val="001C03FC"/>
    <w:rsid w:val="001C431B"/>
    <w:rsid w:val="001C4340"/>
    <w:rsid w:val="001C4744"/>
    <w:rsid w:val="001C4983"/>
    <w:rsid w:val="001C51F1"/>
    <w:rsid w:val="001C5422"/>
    <w:rsid w:val="001C5785"/>
    <w:rsid w:val="001C5C1E"/>
    <w:rsid w:val="001C7E65"/>
    <w:rsid w:val="001D0CB0"/>
    <w:rsid w:val="001D1BE0"/>
    <w:rsid w:val="001D27DC"/>
    <w:rsid w:val="001D4157"/>
    <w:rsid w:val="001D4978"/>
    <w:rsid w:val="001D5F2A"/>
    <w:rsid w:val="001D6939"/>
    <w:rsid w:val="001E009D"/>
    <w:rsid w:val="001E0455"/>
    <w:rsid w:val="001E16AE"/>
    <w:rsid w:val="001E2B4C"/>
    <w:rsid w:val="001E2CD5"/>
    <w:rsid w:val="001E3C77"/>
    <w:rsid w:val="001E5116"/>
    <w:rsid w:val="001E6018"/>
    <w:rsid w:val="001E6034"/>
    <w:rsid w:val="001E64FB"/>
    <w:rsid w:val="001E68EF"/>
    <w:rsid w:val="001E7507"/>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32E2"/>
    <w:rsid w:val="0020369D"/>
    <w:rsid w:val="00205A1C"/>
    <w:rsid w:val="002061AD"/>
    <w:rsid w:val="00206682"/>
    <w:rsid w:val="0021071B"/>
    <w:rsid w:val="00210AED"/>
    <w:rsid w:val="00211307"/>
    <w:rsid w:val="0021189B"/>
    <w:rsid w:val="00212403"/>
    <w:rsid w:val="00212697"/>
    <w:rsid w:val="00212DCC"/>
    <w:rsid w:val="00212FE4"/>
    <w:rsid w:val="002158C5"/>
    <w:rsid w:val="00216061"/>
    <w:rsid w:val="00216740"/>
    <w:rsid w:val="00216D19"/>
    <w:rsid w:val="00217339"/>
    <w:rsid w:val="00220A49"/>
    <w:rsid w:val="002214C5"/>
    <w:rsid w:val="0022166E"/>
    <w:rsid w:val="002218B5"/>
    <w:rsid w:val="00223BED"/>
    <w:rsid w:val="00225A8C"/>
    <w:rsid w:val="00225DE3"/>
    <w:rsid w:val="0022688A"/>
    <w:rsid w:val="00226C85"/>
    <w:rsid w:val="0022755C"/>
    <w:rsid w:val="00230A8F"/>
    <w:rsid w:val="0023164B"/>
    <w:rsid w:val="00232598"/>
    <w:rsid w:val="002339AC"/>
    <w:rsid w:val="00233D00"/>
    <w:rsid w:val="00234D9D"/>
    <w:rsid w:val="002350CD"/>
    <w:rsid w:val="00235353"/>
    <w:rsid w:val="00235AFB"/>
    <w:rsid w:val="00236F73"/>
    <w:rsid w:val="002376A3"/>
    <w:rsid w:val="002378C4"/>
    <w:rsid w:val="00237BF2"/>
    <w:rsid w:val="0024149E"/>
    <w:rsid w:val="0024288B"/>
    <w:rsid w:val="00242925"/>
    <w:rsid w:val="002431FA"/>
    <w:rsid w:val="0024668D"/>
    <w:rsid w:val="00246A5B"/>
    <w:rsid w:val="00247C5F"/>
    <w:rsid w:val="00247E87"/>
    <w:rsid w:val="0025086B"/>
    <w:rsid w:val="002537E1"/>
    <w:rsid w:val="00254B16"/>
    <w:rsid w:val="0025538C"/>
    <w:rsid w:val="0025660A"/>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5C7E"/>
    <w:rsid w:val="002761ED"/>
    <w:rsid w:val="002767D1"/>
    <w:rsid w:val="002772F8"/>
    <w:rsid w:val="00277704"/>
    <w:rsid w:val="0027780B"/>
    <w:rsid w:val="00277A42"/>
    <w:rsid w:val="002804E9"/>
    <w:rsid w:val="002809E4"/>
    <w:rsid w:val="00280EC0"/>
    <w:rsid w:val="00281A35"/>
    <w:rsid w:val="002828E4"/>
    <w:rsid w:val="00282C5F"/>
    <w:rsid w:val="00283F6D"/>
    <w:rsid w:val="00286876"/>
    <w:rsid w:val="00286877"/>
    <w:rsid w:val="00286B94"/>
    <w:rsid w:val="002874B1"/>
    <w:rsid w:val="002903A6"/>
    <w:rsid w:val="002906FB"/>
    <w:rsid w:val="00290B47"/>
    <w:rsid w:val="00291067"/>
    <w:rsid w:val="0029191E"/>
    <w:rsid w:val="0029438A"/>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4F5F"/>
    <w:rsid w:val="002B56F0"/>
    <w:rsid w:val="002B61FC"/>
    <w:rsid w:val="002B7C51"/>
    <w:rsid w:val="002B7F2F"/>
    <w:rsid w:val="002C183C"/>
    <w:rsid w:val="002C1AD6"/>
    <w:rsid w:val="002C1D4B"/>
    <w:rsid w:val="002C2046"/>
    <w:rsid w:val="002C2064"/>
    <w:rsid w:val="002C3A77"/>
    <w:rsid w:val="002C4839"/>
    <w:rsid w:val="002C4C84"/>
    <w:rsid w:val="002C6C3E"/>
    <w:rsid w:val="002D0C17"/>
    <w:rsid w:val="002D1C33"/>
    <w:rsid w:val="002D21A1"/>
    <w:rsid w:val="002D47EA"/>
    <w:rsid w:val="002D4F09"/>
    <w:rsid w:val="002D53B9"/>
    <w:rsid w:val="002D5D13"/>
    <w:rsid w:val="002D7C21"/>
    <w:rsid w:val="002E1A3F"/>
    <w:rsid w:val="002E1D59"/>
    <w:rsid w:val="002E2AE9"/>
    <w:rsid w:val="002E3192"/>
    <w:rsid w:val="002E391C"/>
    <w:rsid w:val="002E535D"/>
    <w:rsid w:val="002E6845"/>
    <w:rsid w:val="002E7897"/>
    <w:rsid w:val="002F043F"/>
    <w:rsid w:val="002F0E91"/>
    <w:rsid w:val="002F2CC6"/>
    <w:rsid w:val="002F3360"/>
    <w:rsid w:val="002F4071"/>
    <w:rsid w:val="002F45CF"/>
    <w:rsid w:val="002F5933"/>
    <w:rsid w:val="002F59EA"/>
    <w:rsid w:val="002F5F70"/>
    <w:rsid w:val="00300938"/>
    <w:rsid w:val="00300FD9"/>
    <w:rsid w:val="00301330"/>
    <w:rsid w:val="00301803"/>
    <w:rsid w:val="003033AC"/>
    <w:rsid w:val="003045BD"/>
    <w:rsid w:val="0030556E"/>
    <w:rsid w:val="00310DA6"/>
    <w:rsid w:val="00311F31"/>
    <w:rsid w:val="00314A61"/>
    <w:rsid w:val="00315A24"/>
    <w:rsid w:val="0031645E"/>
    <w:rsid w:val="00316AE6"/>
    <w:rsid w:val="00317447"/>
    <w:rsid w:val="0032154C"/>
    <w:rsid w:val="003215F3"/>
    <w:rsid w:val="0032174E"/>
    <w:rsid w:val="0032180A"/>
    <w:rsid w:val="0032239E"/>
    <w:rsid w:val="00322449"/>
    <w:rsid w:val="003233E3"/>
    <w:rsid w:val="0032364A"/>
    <w:rsid w:val="00324270"/>
    <w:rsid w:val="00324676"/>
    <w:rsid w:val="00325ABE"/>
    <w:rsid w:val="00327054"/>
    <w:rsid w:val="00327397"/>
    <w:rsid w:val="00327D51"/>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3E96"/>
    <w:rsid w:val="00364070"/>
    <w:rsid w:val="003644E7"/>
    <w:rsid w:val="00364A2C"/>
    <w:rsid w:val="00365400"/>
    <w:rsid w:val="003654CD"/>
    <w:rsid w:val="00365C86"/>
    <w:rsid w:val="00366EA8"/>
    <w:rsid w:val="0037124B"/>
    <w:rsid w:val="00371397"/>
    <w:rsid w:val="00371A50"/>
    <w:rsid w:val="0037282C"/>
    <w:rsid w:val="00372AF5"/>
    <w:rsid w:val="00373E37"/>
    <w:rsid w:val="00374B13"/>
    <w:rsid w:val="00375195"/>
    <w:rsid w:val="003757D8"/>
    <w:rsid w:val="00377B5C"/>
    <w:rsid w:val="00377E57"/>
    <w:rsid w:val="003824D8"/>
    <w:rsid w:val="00382C31"/>
    <w:rsid w:val="00382D5C"/>
    <w:rsid w:val="00383326"/>
    <w:rsid w:val="00384D05"/>
    <w:rsid w:val="00384EB8"/>
    <w:rsid w:val="00385571"/>
    <w:rsid w:val="00387588"/>
    <w:rsid w:val="00387C8F"/>
    <w:rsid w:val="00390D33"/>
    <w:rsid w:val="0039159F"/>
    <w:rsid w:val="00391BC9"/>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7C20"/>
    <w:rsid w:val="003B014A"/>
    <w:rsid w:val="003B086D"/>
    <w:rsid w:val="003B094A"/>
    <w:rsid w:val="003B1467"/>
    <w:rsid w:val="003B1919"/>
    <w:rsid w:val="003B24A2"/>
    <w:rsid w:val="003B2545"/>
    <w:rsid w:val="003B4810"/>
    <w:rsid w:val="003B5A2E"/>
    <w:rsid w:val="003B5C51"/>
    <w:rsid w:val="003C0A02"/>
    <w:rsid w:val="003C15AC"/>
    <w:rsid w:val="003C1B17"/>
    <w:rsid w:val="003C1DA4"/>
    <w:rsid w:val="003C23F8"/>
    <w:rsid w:val="003C26EF"/>
    <w:rsid w:val="003C279F"/>
    <w:rsid w:val="003C4073"/>
    <w:rsid w:val="003C40F3"/>
    <w:rsid w:val="003C5147"/>
    <w:rsid w:val="003C5324"/>
    <w:rsid w:val="003C5801"/>
    <w:rsid w:val="003C6F2D"/>
    <w:rsid w:val="003C727F"/>
    <w:rsid w:val="003D0503"/>
    <w:rsid w:val="003D19F1"/>
    <w:rsid w:val="003D5229"/>
    <w:rsid w:val="003D78AB"/>
    <w:rsid w:val="003E1682"/>
    <w:rsid w:val="003E1E0A"/>
    <w:rsid w:val="003E1FA0"/>
    <w:rsid w:val="003E2AA4"/>
    <w:rsid w:val="003E37EE"/>
    <w:rsid w:val="003E3E67"/>
    <w:rsid w:val="003E5CBD"/>
    <w:rsid w:val="003E66A5"/>
    <w:rsid w:val="003E7BC7"/>
    <w:rsid w:val="003F0516"/>
    <w:rsid w:val="003F48A6"/>
    <w:rsid w:val="003F4C03"/>
    <w:rsid w:val="003F5122"/>
    <w:rsid w:val="003F65C3"/>
    <w:rsid w:val="003F6F54"/>
    <w:rsid w:val="003F73CE"/>
    <w:rsid w:val="0040095F"/>
    <w:rsid w:val="004010C2"/>
    <w:rsid w:val="004015A8"/>
    <w:rsid w:val="00401C8C"/>
    <w:rsid w:val="00402816"/>
    <w:rsid w:val="00402FB6"/>
    <w:rsid w:val="00403EC7"/>
    <w:rsid w:val="00404E3B"/>
    <w:rsid w:val="004100BF"/>
    <w:rsid w:val="0041035D"/>
    <w:rsid w:val="004104F2"/>
    <w:rsid w:val="00410F37"/>
    <w:rsid w:val="00411B92"/>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300"/>
    <w:rsid w:val="00425BFB"/>
    <w:rsid w:val="004273DE"/>
    <w:rsid w:val="00427E64"/>
    <w:rsid w:val="00427F92"/>
    <w:rsid w:val="00430529"/>
    <w:rsid w:val="00430D76"/>
    <w:rsid w:val="004322E9"/>
    <w:rsid w:val="00433E2E"/>
    <w:rsid w:val="00433FF5"/>
    <w:rsid w:val="004346A4"/>
    <w:rsid w:val="004358E1"/>
    <w:rsid w:val="00435B82"/>
    <w:rsid w:val="00435DC7"/>
    <w:rsid w:val="004361BB"/>
    <w:rsid w:val="00436ACA"/>
    <w:rsid w:val="00436EB4"/>
    <w:rsid w:val="004405E5"/>
    <w:rsid w:val="00440D16"/>
    <w:rsid w:val="00440D3D"/>
    <w:rsid w:val="004429BF"/>
    <w:rsid w:val="00442AE0"/>
    <w:rsid w:val="00443C00"/>
    <w:rsid w:val="00444784"/>
    <w:rsid w:val="00446119"/>
    <w:rsid w:val="0044661F"/>
    <w:rsid w:val="00451632"/>
    <w:rsid w:val="0045168D"/>
    <w:rsid w:val="00453990"/>
    <w:rsid w:val="00455665"/>
    <w:rsid w:val="004569FB"/>
    <w:rsid w:val="00456B36"/>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3077"/>
    <w:rsid w:val="00484BBB"/>
    <w:rsid w:val="00485257"/>
    <w:rsid w:val="0048590B"/>
    <w:rsid w:val="00486CF9"/>
    <w:rsid w:val="0048717C"/>
    <w:rsid w:val="004873E0"/>
    <w:rsid w:val="004874EC"/>
    <w:rsid w:val="004877F5"/>
    <w:rsid w:val="00487E51"/>
    <w:rsid w:val="004902C7"/>
    <w:rsid w:val="004908E9"/>
    <w:rsid w:val="00490C51"/>
    <w:rsid w:val="00490C6B"/>
    <w:rsid w:val="004915C5"/>
    <w:rsid w:val="004916DD"/>
    <w:rsid w:val="0049196F"/>
    <w:rsid w:val="004922DA"/>
    <w:rsid w:val="0049413E"/>
    <w:rsid w:val="00494DCF"/>
    <w:rsid w:val="00495728"/>
    <w:rsid w:val="00495A64"/>
    <w:rsid w:val="00495E72"/>
    <w:rsid w:val="004965C1"/>
    <w:rsid w:val="00496B7E"/>
    <w:rsid w:val="00496E5B"/>
    <w:rsid w:val="00497862"/>
    <w:rsid w:val="004A017F"/>
    <w:rsid w:val="004A0AD6"/>
    <w:rsid w:val="004A0B93"/>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469E"/>
    <w:rsid w:val="004B57B4"/>
    <w:rsid w:val="004B588D"/>
    <w:rsid w:val="004B7BB6"/>
    <w:rsid w:val="004C033E"/>
    <w:rsid w:val="004C1112"/>
    <w:rsid w:val="004C3B67"/>
    <w:rsid w:val="004C3C46"/>
    <w:rsid w:val="004C3E27"/>
    <w:rsid w:val="004C4389"/>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BE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1607"/>
    <w:rsid w:val="005539C2"/>
    <w:rsid w:val="00553B02"/>
    <w:rsid w:val="00554A8E"/>
    <w:rsid w:val="0055685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7CD"/>
    <w:rsid w:val="005738C3"/>
    <w:rsid w:val="00574A05"/>
    <w:rsid w:val="00574F6A"/>
    <w:rsid w:val="005769A7"/>
    <w:rsid w:val="005775E2"/>
    <w:rsid w:val="0058031F"/>
    <w:rsid w:val="00580A95"/>
    <w:rsid w:val="00581A97"/>
    <w:rsid w:val="00581C28"/>
    <w:rsid w:val="00584251"/>
    <w:rsid w:val="00584462"/>
    <w:rsid w:val="005851AB"/>
    <w:rsid w:val="0058542D"/>
    <w:rsid w:val="00585652"/>
    <w:rsid w:val="005860E8"/>
    <w:rsid w:val="0058617A"/>
    <w:rsid w:val="0058737E"/>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5116"/>
    <w:rsid w:val="005B5798"/>
    <w:rsid w:val="005B5EF1"/>
    <w:rsid w:val="005B6584"/>
    <w:rsid w:val="005B7424"/>
    <w:rsid w:val="005B759C"/>
    <w:rsid w:val="005C0E2A"/>
    <w:rsid w:val="005C0E5C"/>
    <w:rsid w:val="005C178D"/>
    <w:rsid w:val="005C2609"/>
    <w:rsid w:val="005C2B9A"/>
    <w:rsid w:val="005C4645"/>
    <w:rsid w:val="005C5CE5"/>
    <w:rsid w:val="005C691D"/>
    <w:rsid w:val="005D2435"/>
    <w:rsid w:val="005D30D3"/>
    <w:rsid w:val="005D3711"/>
    <w:rsid w:val="005D39F6"/>
    <w:rsid w:val="005D4428"/>
    <w:rsid w:val="005D57B1"/>
    <w:rsid w:val="005D6DB2"/>
    <w:rsid w:val="005D6E32"/>
    <w:rsid w:val="005D7E5A"/>
    <w:rsid w:val="005E1E51"/>
    <w:rsid w:val="005E2C87"/>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E26"/>
    <w:rsid w:val="00614006"/>
    <w:rsid w:val="00614A99"/>
    <w:rsid w:val="0061626F"/>
    <w:rsid w:val="00616433"/>
    <w:rsid w:val="006167B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42BAE"/>
    <w:rsid w:val="0064459E"/>
    <w:rsid w:val="00650252"/>
    <w:rsid w:val="006504F7"/>
    <w:rsid w:val="00651220"/>
    <w:rsid w:val="00653261"/>
    <w:rsid w:val="006536A9"/>
    <w:rsid w:val="00656A73"/>
    <w:rsid w:val="006601A3"/>
    <w:rsid w:val="006604D3"/>
    <w:rsid w:val="00662B0C"/>
    <w:rsid w:val="006636F3"/>
    <w:rsid w:val="006642EF"/>
    <w:rsid w:val="00664D4C"/>
    <w:rsid w:val="00665AF3"/>
    <w:rsid w:val="00667C14"/>
    <w:rsid w:val="00670038"/>
    <w:rsid w:val="00670F31"/>
    <w:rsid w:val="00671CB3"/>
    <w:rsid w:val="006729B3"/>
    <w:rsid w:val="006742C4"/>
    <w:rsid w:val="00675F94"/>
    <w:rsid w:val="00677BFA"/>
    <w:rsid w:val="00680B35"/>
    <w:rsid w:val="00680B48"/>
    <w:rsid w:val="00680BB2"/>
    <w:rsid w:val="006820B4"/>
    <w:rsid w:val="006828F2"/>
    <w:rsid w:val="00682F59"/>
    <w:rsid w:val="0068461E"/>
    <w:rsid w:val="00686D84"/>
    <w:rsid w:val="00687048"/>
    <w:rsid w:val="00687F60"/>
    <w:rsid w:val="0069334F"/>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60C7"/>
    <w:rsid w:val="006F752C"/>
    <w:rsid w:val="00700039"/>
    <w:rsid w:val="00700268"/>
    <w:rsid w:val="007004E3"/>
    <w:rsid w:val="00700656"/>
    <w:rsid w:val="00700CF4"/>
    <w:rsid w:val="00702885"/>
    <w:rsid w:val="00703580"/>
    <w:rsid w:val="007037A8"/>
    <w:rsid w:val="00704DC0"/>
    <w:rsid w:val="0070722D"/>
    <w:rsid w:val="00710080"/>
    <w:rsid w:val="00711DF0"/>
    <w:rsid w:val="00711F59"/>
    <w:rsid w:val="007128CD"/>
    <w:rsid w:val="00712A94"/>
    <w:rsid w:val="00712EFE"/>
    <w:rsid w:val="00712F6A"/>
    <w:rsid w:val="007145A7"/>
    <w:rsid w:val="00714CEB"/>
    <w:rsid w:val="00715AA0"/>
    <w:rsid w:val="00716C33"/>
    <w:rsid w:val="0072131D"/>
    <w:rsid w:val="00722592"/>
    <w:rsid w:val="007233A7"/>
    <w:rsid w:val="00724B5F"/>
    <w:rsid w:val="00726837"/>
    <w:rsid w:val="0073033B"/>
    <w:rsid w:val="00730824"/>
    <w:rsid w:val="00730CC2"/>
    <w:rsid w:val="00733E8C"/>
    <w:rsid w:val="00733FAC"/>
    <w:rsid w:val="007343AC"/>
    <w:rsid w:val="0073462F"/>
    <w:rsid w:val="007346C1"/>
    <w:rsid w:val="0073596C"/>
    <w:rsid w:val="00735BDB"/>
    <w:rsid w:val="00736488"/>
    <w:rsid w:val="007367EC"/>
    <w:rsid w:val="0074091A"/>
    <w:rsid w:val="00740F4A"/>
    <w:rsid w:val="00742B86"/>
    <w:rsid w:val="00743F9B"/>
    <w:rsid w:val="0074456C"/>
    <w:rsid w:val="00744CDD"/>
    <w:rsid w:val="00744D85"/>
    <w:rsid w:val="00745215"/>
    <w:rsid w:val="00747B97"/>
    <w:rsid w:val="00747D82"/>
    <w:rsid w:val="00750526"/>
    <w:rsid w:val="007508B3"/>
    <w:rsid w:val="00750A5B"/>
    <w:rsid w:val="00752356"/>
    <w:rsid w:val="00752610"/>
    <w:rsid w:val="00752E7E"/>
    <w:rsid w:val="00754250"/>
    <w:rsid w:val="00754A4F"/>
    <w:rsid w:val="0075502B"/>
    <w:rsid w:val="00755C0C"/>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7F50"/>
    <w:rsid w:val="0077020B"/>
    <w:rsid w:val="00770631"/>
    <w:rsid w:val="00770BDF"/>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266B"/>
    <w:rsid w:val="007C54D4"/>
    <w:rsid w:val="007C5668"/>
    <w:rsid w:val="007C56E9"/>
    <w:rsid w:val="007C620D"/>
    <w:rsid w:val="007C64CC"/>
    <w:rsid w:val="007D0366"/>
    <w:rsid w:val="007D050D"/>
    <w:rsid w:val="007D0C99"/>
    <w:rsid w:val="007D1BED"/>
    <w:rsid w:val="007D1D5E"/>
    <w:rsid w:val="007D2C54"/>
    <w:rsid w:val="007D4100"/>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6BE7"/>
    <w:rsid w:val="007E753C"/>
    <w:rsid w:val="007F084A"/>
    <w:rsid w:val="007F0FC4"/>
    <w:rsid w:val="007F1108"/>
    <w:rsid w:val="007F179F"/>
    <w:rsid w:val="007F1B29"/>
    <w:rsid w:val="007F2F07"/>
    <w:rsid w:val="007F4AD0"/>
    <w:rsid w:val="0080299F"/>
    <w:rsid w:val="00802B2D"/>
    <w:rsid w:val="00802B47"/>
    <w:rsid w:val="00802E86"/>
    <w:rsid w:val="008031A9"/>
    <w:rsid w:val="00803BDF"/>
    <w:rsid w:val="00804AE4"/>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3E57"/>
    <w:rsid w:val="00844677"/>
    <w:rsid w:val="00844ACA"/>
    <w:rsid w:val="008458A1"/>
    <w:rsid w:val="00846711"/>
    <w:rsid w:val="00846741"/>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1E3D"/>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5792"/>
    <w:rsid w:val="0088696A"/>
    <w:rsid w:val="00886A44"/>
    <w:rsid w:val="00890451"/>
    <w:rsid w:val="0089173A"/>
    <w:rsid w:val="00892627"/>
    <w:rsid w:val="00892EB2"/>
    <w:rsid w:val="0089317F"/>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5C2"/>
    <w:rsid w:val="008C5C18"/>
    <w:rsid w:val="008C61CB"/>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4335"/>
    <w:rsid w:val="008E5840"/>
    <w:rsid w:val="008E5D1F"/>
    <w:rsid w:val="008E757D"/>
    <w:rsid w:val="008E7965"/>
    <w:rsid w:val="008F12F3"/>
    <w:rsid w:val="008F23A8"/>
    <w:rsid w:val="008F3798"/>
    <w:rsid w:val="008F41D2"/>
    <w:rsid w:val="008F5026"/>
    <w:rsid w:val="008F5FF7"/>
    <w:rsid w:val="008F66A2"/>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0AEB"/>
    <w:rsid w:val="009112D8"/>
    <w:rsid w:val="00912096"/>
    <w:rsid w:val="00913545"/>
    <w:rsid w:val="00913FDF"/>
    <w:rsid w:val="0091516C"/>
    <w:rsid w:val="00915675"/>
    <w:rsid w:val="00915D90"/>
    <w:rsid w:val="00916D52"/>
    <w:rsid w:val="0092022A"/>
    <w:rsid w:val="0092067A"/>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0589"/>
    <w:rsid w:val="00941D9F"/>
    <w:rsid w:val="009452BE"/>
    <w:rsid w:val="0094539D"/>
    <w:rsid w:val="0095037E"/>
    <w:rsid w:val="009516D5"/>
    <w:rsid w:val="00951828"/>
    <w:rsid w:val="0095262A"/>
    <w:rsid w:val="00953E75"/>
    <w:rsid w:val="00954F14"/>
    <w:rsid w:val="00954F5E"/>
    <w:rsid w:val="00955680"/>
    <w:rsid w:val="0095603A"/>
    <w:rsid w:val="009560D8"/>
    <w:rsid w:val="00957EC9"/>
    <w:rsid w:val="00961429"/>
    <w:rsid w:val="00962744"/>
    <w:rsid w:val="00962AD5"/>
    <w:rsid w:val="009631ED"/>
    <w:rsid w:val="00964425"/>
    <w:rsid w:val="0096478F"/>
    <w:rsid w:val="00965252"/>
    <w:rsid w:val="0096556B"/>
    <w:rsid w:val="009657F3"/>
    <w:rsid w:val="0096593D"/>
    <w:rsid w:val="00966124"/>
    <w:rsid w:val="009677B1"/>
    <w:rsid w:val="009677BC"/>
    <w:rsid w:val="0096795C"/>
    <w:rsid w:val="009708AD"/>
    <w:rsid w:val="009718C7"/>
    <w:rsid w:val="00972621"/>
    <w:rsid w:val="009741E1"/>
    <w:rsid w:val="009744FA"/>
    <w:rsid w:val="0097507F"/>
    <w:rsid w:val="00975201"/>
    <w:rsid w:val="009756E0"/>
    <w:rsid w:val="00975C44"/>
    <w:rsid w:val="00975DDE"/>
    <w:rsid w:val="00976AE6"/>
    <w:rsid w:val="0097756C"/>
    <w:rsid w:val="00977DA9"/>
    <w:rsid w:val="00980D88"/>
    <w:rsid w:val="00980E04"/>
    <w:rsid w:val="00981801"/>
    <w:rsid w:val="00981B85"/>
    <w:rsid w:val="0098215E"/>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BCF"/>
    <w:rsid w:val="00997A4E"/>
    <w:rsid w:val="009A1740"/>
    <w:rsid w:val="009A1A13"/>
    <w:rsid w:val="009A1E16"/>
    <w:rsid w:val="009A1EC5"/>
    <w:rsid w:val="009A2A00"/>
    <w:rsid w:val="009A3B59"/>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5D87"/>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0E2D"/>
    <w:rsid w:val="009E17E6"/>
    <w:rsid w:val="009E18CB"/>
    <w:rsid w:val="009E2B99"/>
    <w:rsid w:val="009E2FDA"/>
    <w:rsid w:val="009E5505"/>
    <w:rsid w:val="009E5F01"/>
    <w:rsid w:val="009E6107"/>
    <w:rsid w:val="009E742F"/>
    <w:rsid w:val="009E7954"/>
    <w:rsid w:val="009E7EF6"/>
    <w:rsid w:val="009F0238"/>
    <w:rsid w:val="009F0449"/>
    <w:rsid w:val="009F0482"/>
    <w:rsid w:val="009F0A63"/>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1943"/>
    <w:rsid w:val="00A22047"/>
    <w:rsid w:val="00A222FF"/>
    <w:rsid w:val="00A22F18"/>
    <w:rsid w:val="00A23AF0"/>
    <w:rsid w:val="00A2477F"/>
    <w:rsid w:val="00A24C96"/>
    <w:rsid w:val="00A25255"/>
    <w:rsid w:val="00A255C6"/>
    <w:rsid w:val="00A27AD9"/>
    <w:rsid w:val="00A3027F"/>
    <w:rsid w:val="00A303B6"/>
    <w:rsid w:val="00A3063D"/>
    <w:rsid w:val="00A322BD"/>
    <w:rsid w:val="00A32D8C"/>
    <w:rsid w:val="00A3418C"/>
    <w:rsid w:val="00A35110"/>
    <w:rsid w:val="00A352A1"/>
    <w:rsid w:val="00A366D1"/>
    <w:rsid w:val="00A36909"/>
    <w:rsid w:val="00A413AA"/>
    <w:rsid w:val="00A438C6"/>
    <w:rsid w:val="00A439D5"/>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9C7"/>
    <w:rsid w:val="00A64C25"/>
    <w:rsid w:val="00A653E3"/>
    <w:rsid w:val="00A65ED5"/>
    <w:rsid w:val="00A665A7"/>
    <w:rsid w:val="00A66651"/>
    <w:rsid w:val="00A66805"/>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9F6"/>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212"/>
    <w:rsid w:val="00A85A05"/>
    <w:rsid w:val="00A87065"/>
    <w:rsid w:val="00A911F7"/>
    <w:rsid w:val="00A9301F"/>
    <w:rsid w:val="00A933B9"/>
    <w:rsid w:val="00A94C92"/>
    <w:rsid w:val="00A954C5"/>
    <w:rsid w:val="00A95644"/>
    <w:rsid w:val="00A95835"/>
    <w:rsid w:val="00A972FA"/>
    <w:rsid w:val="00A97612"/>
    <w:rsid w:val="00A9793C"/>
    <w:rsid w:val="00AA3715"/>
    <w:rsid w:val="00AA45F6"/>
    <w:rsid w:val="00AA61C2"/>
    <w:rsid w:val="00AA627D"/>
    <w:rsid w:val="00AA69BE"/>
    <w:rsid w:val="00AA7C40"/>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27C4"/>
    <w:rsid w:val="00AF3041"/>
    <w:rsid w:val="00AF31FD"/>
    <w:rsid w:val="00AF35A5"/>
    <w:rsid w:val="00AF47FF"/>
    <w:rsid w:val="00AF5A65"/>
    <w:rsid w:val="00AF5AB7"/>
    <w:rsid w:val="00AF5C06"/>
    <w:rsid w:val="00AF63BB"/>
    <w:rsid w:val="00AF697A"/>
    <w:rsid w:val="00AF72BE"/>
    <w:rsid w:val="00AF7EE3"/>
    <w:rsid w:val="00B00917"/>
    <w:rsid w:val="00B01E10"/>
    <w:rsid w:val="00B02125"/>
    <w:rsid w:val="00B0357D"/>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1D78"/>
    <w:rsid w:val="00B22254"/>
    <w:rsid w:val="00B23557"/>
    <w:rsid w:val="00B23BF2"/>
    <w:rsid w:val="00B23D9F"/>
    <w:rsid w:val="00B24141"/>
    <w:rsid w:val="00B2416D"/>
    <w:rsid w:val="00B24CEA"/>
    <w:rsid w:val="00B26539"/>
    <w:rsid w:val="00B2741F"/>
    <w:rsid w:val="00B2779A"/>
    <w:rsid w:val="00B278F5"/>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1EA3"/>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43B6"/>
    <w:rsid w:val="00B75178"/>
    <w:rsid w:val="00B752EF"/>
    <w:rsid w:val="00B75927"/>
    <w:rsid w:val="00B76606"/>
    <w:rsid w:val="00B76DC1"/>
    <w:rsid w:val="00B800F9"/>
    <w:rsid w:val="00B811D5"/>
    <w:rsid w:val="00B81344"/>
    <w:rsid w:val="00B83875"/>
    <w:rsid w:val="00B8507E"/>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230E"/>
    <w:rsid w:val="00BA2B8F"/>
    <w:rsid w:val="00BA46D9"/>
    <w:rsid w:val="00BA57D8"/>
    <w:rsid w:val="00BA6274"/>
    <w:rsid w:val="00BA66B9"/>
    <w:rsid w:val="00BB0237"/>
    <w:rsid w:val="00BB219B"/>
    <w:rsid w:val="00BB261F"/>
    <w:rsid w:val="00BB36ED"/>
    <w:rsid w:val="00BB456F"/>
    <w:rsid w:val="00BB66F2"/>
    <w:rsid w:val="00BB68B5"/>
    <w:rsid w:val="00BB78D8"/>
    <w:rsid w:val="00BB7944"/>
    <w:rsid w:val="00BB7C3A"/>
    <w:rsid w:val="00BC034A"/>
    <w:rsid w:val="00BC0503"/>
    <w:rsid w:val="00BC0514"/>
    <w:rsid w:val="00BC11B5"/>
    <w:rsid w:val="00BC1541"/>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683F"/>
    <w:rsid w:val="00BD795F"/>
    <w:rsid w:val="00BD7EA7"/>
    <w:rsid w:val="00BD7F87"/>
    <w:rsid w:val="00BE0AFA"/>
    <w:rsid w:val="00BE10C6"/>
    <w:rsid w:val="00BE130B"/>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7E1"/>
    <w:rsid w:val="00C11C58"/>
    <w:rsid w:val="00C12415"/>
    <w:rsid w:val="00C12A81"/>
    <w:rsid w:val="00C12F45"/>
    <w:rsid w:val="00C1428B"/>
    <w:rsid w:val="00C175CC"/>
    <w:rsid w:val="00C17C51"/>
    <w:rsid w:val="00C201F7"/>
    <w:rsid w:val="00C20E83"/>
    <w:rsid w:val="00C222CE"/>
    <w:rsid w:val="00C23855"/>
    <w:rsid w:val="00C25AA0"/>
    <w:rsid w:val="00C25C4C"/>
    <w:rsid w:val="00C25E5F"/>
    <w:rsid w:val="00C271A7"/>
    <w:rsid w:val="00C27293"/>
    <w:rsid w:val="00C276FA"/>
    <w:rsid w:val="00C27701"/>
    <w:rsid w:val="00C3098D"/>
    <w:rsid w:val="00C30ED7"/>
    <w:rsid w:val="00C32604"/>
    <w:rsid w:val="00C3267D"/>
    <w:rsid w:val="00C32D9E"/>
    <w:rsid w:val="00C33A75"/>
    <w:rsid w:val="00C34847"/>
    <w:rsid w:val="00C34A21"/>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319"/>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5AD0"/>
    <w:rsid w:val="00C65C4B"/>
    <w:rsid w:val="00C66DAD"/>
    <w:rsid w:val="00C674CD"/>
    <w:rsid w:val="00C7049D"/>
    <w:rsid w:val="00C717FA"/>
    <w:rsid w:val="00C723B0"/>
    <w:rsid w:val="00C72C2C"/>
    <w:rsid w:val="00C73144"/>
    <w:rsid w:val="00C7371D"/>
    <w:rsid w:val="00C73C5C"/>
    <w:rsid w:val="00C74AE3"/>
    <w:rsid w:val="00C80338"/>
    <w:rsid w:val="00C81C0C"/>
    <w:rsid w:val="00C82F20"/>
    <w:rsid w:val="00C83556"/>
    <w:rsid w:val="00C85B40"/>
    <w:rsid w:val="00C9020F"/>
    <w:rsid w:val="00C9039C"/>
    <w:rsid w:val="00C92CC1"/>
    <w:rsid w:val="00C92DF8"/>
    <w:rsid w:val="00C93C71"/>
    <w:rsid w:val="00C945A0"/>
    <w:rsid w:val="00C94B17"/>
    <w:rsid w:val="00C9624A"/>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2DF1"/>
    <w:rsid w:val="00CB326F"/>
    <w:rsid w:val="00CB3683"/>
    <w:rsid w:val="00CB3ABC"/>
    <w:rsid w:val="00CB5258"/>
    <w:rsid w:val="00CB75C6"/>
    <w:rsid w:val="00CB7828"/>
    <w:rsid w:val="00CB7CD7"/>
    <w:rsid w:val="00CB7EC5"/>
    <w:rsid w:val="00CC00B5"/>
    <w:rsid w:val="00CC263B"/>
    <w:rsid w:val="00CC2CB7"/>
    <w:rsid w:val="00CC3052"/>
    <w:rsid w:val="00CC3247"/>
    <w:rsid w:val="00CC38FA"/>
    <w:rsid w:val="00CC5FD2"/>
    <w:rsid w:val="00CC6517"/>
    <w:rsid w:val="00CC6AD0"/>
    <w:rsid w:val="00CC7292"/>
    <w:rsid w:val="00CC7ADF"/>
    <w:rsid w:val="00CD1996"/>
    <w:rsid w:val="00CD2447"/>
    <w:rsid w:val="00CD312A"/>
    <w:rsid w:val="00CD77FD"/>
    <w:rsid w:val="00CD7F61"/>
    <w:rsid w:val="00CE0DD6"/>
    <w:rsid w:val="00CE0E7A"/>
    <w:rsid w:val="00CE0EBF"/>
    <w:rsid w:val="00CE1EA8"/>
    <w:rsid w:val="00CE3A00"/>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42C3"/>
    <w:rsid w:val="00D04462"/>
    <w:rsid w:val="00D04995"/>
    <w:rsid w:val="00D04CC5"/>
    <w:rsid w:val="00D056B2"/>
    <w:rsid w:val="00D06704"/>
    <w:rsid w:val="00D072D3"/>
    <w:rsid w:val="00D074C0"/>
    <w:rsid w:val="00D075D9"/>
    <w:rsid w:val="00D1117C"/>
    <w:rsid w:val="00D115F8"/>
    <w:rsid w:val="00D11AF4"/>
    <w:rsid w:val="00D11F10"/>
    <w:rsid w:val="00D12127"/>
    <w:rsid w:val="00D131D1"/>
    <w:rsid w:val="00D13B4E"/>
    <w:rsid w:val="00D15480"/>
    <w:rsid w:val="00D16427"/>
    <w:rsid w:val="00D1730D"/>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49EC"/>
    <w:rsid w:val="00D357C4"/>
    <w:rsid w:val="00D35CCF"/>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3B5C"/>
    <w:rsid w:val="00D55755"/>
    <w:rsid w:val="00D56169"/>
    <w:rsid w:val="00D563A9"/>
    <w:rsid w:val="00D5655C"/>
    <w:rsid w:val="00D60B84"/>
    <w:rsid w:val="00D622D0"/>
    <w:rsid w:val="00D623BC"/>
    <w:rsid w:val="00D6260E"/>
    <w:rsid w:val="00D63481"/>
    <w:rsid w:val="00D64C67"/>
    <w:rsid w:val="00D64FFB"/>
    <w:rsid w:val="00D658F2"/>
    <w:rsid w:val="00D665D7"/>
    <w:rsid w:val="00D70708"/>
    <w:rsid w:val="00D710B8"/>
    <w:rsid w:val="00D712E9"/>
    <w:rsid w:val="00D72327"/>
    <w:rsid w:val="00D72B03"/>
    <w:rsid w:val="00D73CF1"/>
    <w:rsid w:val="00D7423A"/>
    <w:rsid w:val="00D74275"/>
    <w:rsid w:val="00D76073"/>
    <w:rsid w:val="00D8277B"/>
    <w:rsid w:val="00D82B2C"/>
    <w:rsid w:val="00D84884"/>
    <w:rsid w:val="00D859E3"/>
    <w:rsid w:val="00D8605F"/>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3F1"/>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1809"/>
    <w:rsid w:val="00DD29F8"/>
    <w:rsid w:val="00DD36DF"/>
    <w:rsid w:val="00DD3BB8"/>
    <w:rsid w:val="00DD3CC2"/>
    <w:rsid w:val="00DD4708"/>
    <w:rsid w:val="00DD5480"/>
    <w:rsid w:val="00DD6C05"/>
    <w:rsid w:val="00DE0182"/>
    <w:rsid w:val="00DE0B7C"/>
    <w:rsid w:val="00DE107E"/>
    <w:rsid w:val="00DE2814"/>
    <w:rsid w:val="00DE38D9"/>
    <w:rsid w:val="00DE4247"/>
    <w:rsid w:val="00DE7357"/>
    <w:rsid w:val="00DE74A4"/>
    <w:rsid w:val="00DF077F"/>
    <w:rsid w:val="00DF1375"/>
    <w:rsid w:val="00DF1C46"/>
    <w:rsid w:val="00DF2504"/>
    <w:rsid w:val="00DF2E5C"/>
    <w:rsid w:val="00DF2F47"/>
    <w:rsid w:val="00DF3538"/>
    <w:rsid w:val="00DF397C"/>
    <w:rsid w:val="00DF5A47"/>
    <w:rsid w:val="00DF6C7A"/>
    <w:rsid w:val="00DF7006"/>
    <w:rsid w:val="00DF7832"/>
    <w:rsid w:val="00E00A5F"/>
    <w:rsid w:val="00E010BD"/>
    <w:rsid w:val="00E01EF7"/>
    <w:rsid w:val="00E02932"/>
    <w:rsid w:val="00E03EC8"/>
    <w:rsid w:val="00E0440D"/>
    <w:rsid w:val="00E04E4C"/>
    <w:rsid w:val="00E0501A"/>
    <w:rsid w:val="00E05703"/>
    <w:rsid w:val="00E05A34"/>
    <w:rsid w:val="00E07464"/>
    <w:rsid w:val="00E101E2"/>
    <w:rsid w:val="00E107DD"/>
    <w:rsid w:val="00E1139E"/>
    <w:rsid w:val="00E12FDE"/>
    <w:rsid w:val="00E13FC3"/>
    <w:rsid w:val="00E14BDB"/>
    <w:rsid w:val="00E200B8"/>
    <w:rsid w:val="00E20BBA"/>
    <w:rsid w:val="00E210AE"/>
    <w:rsid w:val="00E217FA"/>
    <w:rsid w:val="00E2343C"/>
    <w:rsid w:val="00E2343E"/>
    <w:rsid w:val="00E23BD3"/>
    <w:rsid w:val="00E247C3"/>
    <w:rsid w:val="00E2549C"/>
    <w:rsid w:val="00E25BF8"/>
    <w:rsid w:val="00E26031"/>
    <w:rsid w:val="00E263B6"/>
    <w:rsid w:val="00E3116F"/>
    <w:rsid w:val="00E31BB7"/>
    <w:rsid w:val="00E3272D"/>
    <w:rsid w:val="00E32E30"/>
    <w:rsid w:val="00E3420A"/>
    <w:rsid w:val="00E350A2"/>
    <w:rsid w:val="00E353E1"/>
    <w:rsid w:val="00E37072"/>
    <w:rsid w:val="00E37E86"/>
    <w:rsid w:val="00E40768"/>
    <w:rsid w:val="00E418B6"/>
    <w:rsid w:val="00E440A1"/>
    <w:rsid w:val="00E441AA"/>
    <w:rsid w:val="00E46136"/>
    <w:rsid w:val="00E46C3D"/>
    <w:rsid w:val="00E47B41"/>
    <w:rsid w:val="00E50472"/>
    <w:rsid w:val="00E50893"/>
    <w:rsid w:val="00E51A06"/>
    <w:rsid w:val="00E51D44"/>
    <w:rsid w:val="00E52572"/>
    <w:rsid w:val="00E53F67"/>
    <w:rsid w:val="00E54896"/>
    <w:rsid w:val="00E558B4"/>
    <w:rsid w:val="00E55BCC"/>
    <w:rsid w:val="00E56552"/>
    <w:rsid w:val="00E56C84"/>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F03"/>
    <w:rsid w:val="00E82C6E"/>
    <w:rsid w:val="00E83078"/>
    <w:rsid w:val="00E830A9"/>
    <w:rsid w:val="00E835B4"/>
    <w:rsid w:val="00E85AAA"/>
    <w:rsid w:val="00E86399"/>
    <w:rsid w:val="00E864D2"/>
    <w:rsid w:val="00E90075"/>
    <w:rsid w:val="00E9028F"/>
    <w:rsid w:val="00E90381"/>
    <w:rsid w:val="00E907AE"/>
    <w:rsid w:val="00E91EC4"/>
    <w:rsid w:val="00E92591"/>
    <w:rsid w:val="00E92AE2"/>
    <w:rsid w:val="00E936F2"/>
    <w:rsid w:val="00E94957"/>
    <w:rsid w:val="00E94C2B"/>
    <w:rsid w:val="00E95AF9"/>
    <w:rsid w:val="00E95D83"/>
    <w:rsid w:val="00E97818"/>
    <w:rsid w:val="00EA0012"/>
    <w:rsid w:val="00EA29BF"/>
    <w:rsid w:val="00EA33BB"/>
    <w:rsid w:val="00EA4358"/>
    <w:rsid w:val="00EA5C5F"/>
    <w:rsid w:val="00EA6C58"/>
    <w:rsid w:val="00EB0473"/>
    <w:rsid w:val="00EB0AA0"/>
    <w:rsid w:val="00EB28A8"/>
    <w:rsid w:val="00EB2B42"/>
    <w:rsid w:val="00EB3A29"/>
    <w:rsid w:val="00EB3A58"/>
    <w:rsid w:val="00EB4D4C"/>
    <w:rsid w:val="00EB7825"/>
    <w:rsid w:val="00EC2F63"/>
    <w:rsid w:val="00EC30E7"/>
    <w:rsid w:val="00EC3491"/>
    <w:rsid w:val="00EC39D7"/>
    <w:rsid w:val="00EC5C3C"/>
    <w:rsid w:val="00EC6793"/>
    <w:rsid w:val="00EC6D07"/>
    <w:rsid w:val="00EC7671"/>
    <w:rsid w:val="00ED023F"/>
    <w:rsid w:val="00ED0A11"/>
    <w:rsid w:val="00ED23CC"/>
    <w:rsid w:val="00ED2653"/>
    <w:rsid w:val="00ED2F28"/>
    <w:rsid w:val="00EE0C5F"/>
    <w:rsid w:val="00EE1CD1"/>
    <w:rsid w:val="00EE22B5"/>
    <w:rsid w:val="00EE2B45"/>
    <w:rsid w:val="00EE2CDB"/>
    <w:rsid w:val="00EE30CF"/>
    <w:rsid w:val="00EE3DE2"/>
    <w:rsid w:val="00EE4F46"/>
    <w:rsid w:val="00EE6DB0"/>
    <w:rsid w:val="00EE7063"/>
    <w:rsid w:val="00EE74FA"/>
    <w:rsid w:val="00EF1357"/>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2C"/>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30EC"/>
    <w:rsid w:val="00F24335"/>
    <w:rsid w:val="00F24ADC"/>
    <w:rsid w:val="00F26D26"/>
    <w:rsid w:val="00F31D6D"/>
    <w:rsid w:val="00F330DC"/>
    <w:rsid w:val="00F33687"/>
    <w:rsid w:val="00F33D40"/>
    <w:rsid w:val="00F3465F"/>
    <w:rsid w:val="00F35487"/>
    <w:rsid w:val="00F370BA"/>
    <w:rsid w:val="00F37739"/>
    <w:rsid w:val="00F40119"/>
    <w:rsid w:val="00F41C4D"/>
    <w:rsid w:val="00F41FA2"/>
    <w:rsid w:val="00F429AE"/>
    <w:rsid w:val="00F42D58"/>
    <w:rsid w:val="00F43A7D"/>
    <w:rsid w:val="00F43D77"/>
    <w:rsid w:val="00F4499C"/>
    <w:rsid w:val="00F44B46"/>
    <w:rsid w:val="00F44DE6"/>
    <w:rsid w:val="00F4575B"/>
    <w:rsid w:val="00F45ED5"/>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44C6"/>
    <w:rsid w:val="00F95160"/>
    <w:rsid w:val="00F965AB"/>
    <w:rsid w:val="00F97BBC"/>
    <w:rsid w:val="00FA0371"/>
    <w:rsid w:val="00FA06EA"/>
    <w:rsid w:val="00FA16D9"/>
    <w:rsid w:val="00FA1935"/>
    <w:rsid w:val="00FA1A8D"/>
    <w:rsid w:val="00FA1F98"/>
    <w:rsid w:val="00FA2956"/>
    <w:rsid w:val="00FA37D3"/>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4FEF"/>
    <w:rsid w:val="00FC5B23"/>
    <w:rsid w:val="00FC5BF2"/>
    <w:rsid w:val="00FC5C81"/>
    <w:rsid w:val="00FC5F13"/>
    <w:rsid w:val="00FC6435"/>
    <w:rsid w:val="00FC6F78"/>
    <w:rsid w:val="00FC721C"/>
    <w:rsid w:val="00FD0077"/>
    <w:rsid w:val="00FD19BD"/>
    <w:rsid w:val="00FD1D3A"/>
    <w:rsid w:val="00FD4A14"/>
    <w:rsid w:val="00FD4EC8"/>
    <w:rsid w:val="00FD524D"/>
    <w:rsid w:val="00FD53A3"/>
    <w:rsid w:val="00FD54AF"/>
    <w:rsid w:val="00FD5867"/>
    <w:rsid w:val="00FD5F64"/>
    <w:rsid w:val="00FD748C"/>
    <w:rsid w:val="00FD7B45"/>
    <w:rsid w:val="00FE0FC2"/>
    <w:rsid w:val="00FE10F0"/>
    <w:rsid w:val="00FE2B2D"/>
    <w:rsid w:val="00FE30E8"/>
    <w:rsid w:val="00FE4A12"/>
    <w:rsid w:val="00FE4C50"/>
    <w:rsid w:val="00FE5223"/>
    <w:rsid w:val="00FE7FD8"/>
    <w:rsid w:val="00FF039A"/>
    <w:rsid w:val="00FF0AD6"/>
    <w:rsid w:val="00FF15E7"/>
    <w:rsid w:val="00FF1B74"/>
    <w:rsid w:val="00FF253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8524BCA4-8132-4C11-B8D4-276AB6E5159B}"/>
</file>

<file path=customXml/itemProps3.xml><?xml version="1.0" encoding="utf-8"?>
<ds:datastoreItem xmlns:ds="http://schemas.openxmlformats.org/officeDocument/2006/customXml" ds:itemID="{4608EF44-A5D9-413E-92E9-D1C7B7D4E24A}"/>
</file>

<file path=customXml/itemProps4.xml><?xml version="1.0" encoding="utf-8"?>
<ds:datastoreItem xmlns:ds="http://schemas.openxmlformats.org/officeDocument/2006/customXml" ds:itemID="{BA8BAC6A-E441-4546-A4E5-6723E60B2D1A}"/>
</file>

<file path=docProps/app.xml><?xml version="1.0" encoding="utf-8"?>
<Properties xmlns="http://schemas.openxmlformats.org/officeDocument/2006/extended-properties" xmlns:vt="http://schemas.openxmlformats.org/officeDocument/2006/docPropsVTypes">
  <Template>Normal.dotm</Template>
  <TotalTime>63</TotalTime>
  <Pages>12</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Tanya Scarfe</cp:lastModifiedBy>
  <cp:revision>4</cp:revision>
  <cp:lastPrinted>2019-09-12T06:02:00Z</cp:lastPrinted>
  <dcterms:created xsi:type="dcterms:W3CDTF">2025-01-17T04:07:00Z</dcterms:created>
  <dcterms:modified xsi:type="dcterms:W3CDTF">2025-01-17T04:08:00Z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